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علاج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علاج الموصلي
</w:t>
      </w:r>
    </w:p>
    <w:p>
      <w:pPr/>
      <w:r>
        <w:rPr/>
        <w:t xml:space="preserve">عبد الله بن أبي علاج الموصلي. عن مالك.</w:t>
      </w:r>
    </w:p>
    <w:p/>
    <w:p>
      <w:pPr/>
      <w:r>
        <w:rPr/>
        <w:t xml:space="preserve">متهم بوضع الحديث.</w:t>
      </w:r>
    </w:p>
    <w:p/>
    <w:p>
      <w:pPr/>
      <w:r>
        <w:rPr/>
        <w:t xml:space="preserve">وقد مر، وهو ابن أيوب.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علاج الموصلي
</w:t>
      </w:r>
    </w:p>
    <w:p>
      <w:pPr/>
      <w:r>
        <w:rPr/>
        <w:t xml:space="preserve">عبد الله بن أبي علاج الموصلي: عن مالك، متهم بالوضع.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2026-07-27T09:08:22+03:00</dcterms:created>
  <dcterms:modified xsi:type="dcterms:W3CDTF">2026-07-27T09:08:22+03:00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