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عصمة بن محمد
</w:t>
      </w:r>
    </w:p>
    <w:p>
      <w:pPr>
        <w:jc w:val="start"/>
        <w:bidi/>
      </w:pPr>
      <w:r>
        <w:rPr>
          <w:rFonts w:ascii="arial" w:hAnsi="arial" w:eastAsia="arial" w:cs="arial"/>
          <w:sz w:val="28"/>
          <w:szCs w:val="28"/>
          <w:b w:val="1"/>
          <w:bCs w:val="1"/>
          <w:rtl/>
        </w:rPr>
        <w:t xml:space="preserve">عصمة بن محمد
</w:t>
      </w:r>
    </w:p>
    <w:p>
      <w:pPr/>
      <w:r>
        <w:rPr/>
        <w:t xml:space="preserve">عصمة بن محمد. عن هشام بن عروة.</w:t>
      </w:r>
    </w:p>
    <w:p/>
    <w:p>
      <w:pPr/>
      <w:r>
        <w:rPr/>
        <w:t xml:space="preserve">قال أبو حاتم: ليس بقوي.</w:t>
      </w:r>
    </w:p>
    <w:p/>
    <w:p>
      <w:pPr/>
      <w:r>
        <w:rPr/>
        <w:t xml:space="preserve">وقال يحيى: كذاب، يضع الحديث.</w:t>
      </w:r>
    </w:p>
    <w:p/>
    <w:p>
      <w:pPr/>
      <w:r>
        <w:rPr/>
        <w:t xml:space="preserve">وقال العقيلي: حدث بالبواطيل عن الثقات.</w:t>
      </w:r>
    </w:p>
    <w:p/>
    <w:p>
      <w:pPr/>
      <w:r>
        <w:rPr/>
        <w:t xml:space="preserve">وقال الدارقطني وغيره: متروك.</w:t>
      </w:r>
    </w:p>
    <w:p/>
    <w:p>
      <w:pPr/>
      <w:r>
        <w:rPr/>
        <w:t xml:space="preserve">ومن باطله: عن هشام بن عروة، عن أبيه، عن ابن عباس - مرفوعا: اطلبوا الخير عند حسان الوجوه.</w:t>
      </w:r>
    </w:p>
    <w:p/>
    <w:p>
      <w:pPr/>
      <w:r>
        <w:rPr/>
        <w:t xml:space="preserve">وعن موسى بن عقبة، عن نافع، عن ابن عمر - مرفوعا: من سب الله أو أحدا من الانبياء فاقتلوه.</w:t>
      </w:r>
    </w:p>
    <w:p/>
    <w:p>
      <w:pPr/>
      <w:r>
        <w:rPr/>
        <w:t xml:space="preserve">قال ابن عدي: عصمة بن محمد بن فضالة بن عبيد الأنصاري مدني، كل حديثه غير محفوظ.</w:t>
      </w:r>
    </w:p>
    <w:p/>
    <w:p>
      <w:pPr/>
      <w:r>
        <w:rPr/>
        <w:t xml:space="preserve">أخبرنا إسحاق الآدمى، أخبرنا ابن خليل، وأخبرنا الرارانى، أخبرنا الحداد، أخبرنا أبو نعيم، حدثنا الطبراني، حدثنا أحمد بن خالد الرقى، حدثنا زهير بن عباد، حدثنا عصمة بن محمد، عن يحيى بن سعيد، عن سليمان بن يسار، عن أبي هريرة: خطبنا رسول الله صلى الله عليه وسلم على ناقته الجدعاء، فقال: أيها الناس، كأن الموت فيها على غيرنا كتب، وكأن الحق فيها على غيرنا وجب ... الحديث بطوله /.</w:t>
      </w:r>
    </w:p>
    <w:p>
      <w:pPr>
        <w:jc w:val="start"/>
        <w:bidi/>
      </w:pPr>
      <w:r>
        <w:rPr>
          <w:sz w:val="24"/>
          <w:szCs w:val="24"/>
          <w:b w:val="1"/>
          <w:bCs w:val="1"/>
          <w:rtl/>
        </w:rPr>
        <w:t xml:space="preserve">
ميزان الاعتدال في نقد الرجال،(دار المعرفة للطباعة والنشر، بيروت - لبنان،1963،ط 1،ج 3،ص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2026-07-27T08:39:49+03:00</dcterms:created>
  <dcterms:modified xsi:type="dcterms:W3CDTF">2026-07-27T08:39:49+03:00</dcterms:modified>
</cp:coreProperties>
</file>

<file path=docProps/custom.xml><?xml version="1.0" encoding="utf-8"?>
<Properties xmlns="http://schemas.openxmlformats.org/officeDocument/2006/custom-properties" xmlns:vt="http://schemas.openxmlformats.org/officeDocument/2006/docPropsVTypes"/>
</file>