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هشام
</w:t>
      </w:r>
    </w:p>
    <w:p>
      <w:pPr/>
      <w:r>
        <w:rPr/>
        <w:t xml:space="preserve">محمد بن هشام من أهل إشبيلية؛ يكنى: أبا عبد الله.</w:t>
      </w:r>
    </w:p>
    <w:p/>
    <w:p>
      <w:pPr/>
      <w:r>
        <w:rPr/>
        <w:t xml:space="preserve">سمع بقرطبة: من عمر بن حفص بن غالب، وأبان بن محمد بن دينار، وأحمد بن خالد، ومحمد بن عبد الملك بن أيمن، وقاسم بن أصبغ ونظرائهم.</w:t>
      </w:r>
    </w:p>
    <w:p/>
    <w:p>
      <w:pPr/>
      <w:r>
        <w:rPr/>
        <w:t xml:space="preserve">وكان: شيخا طاهرا فهما، حافظا للرأي والشروط. لقيته بإشبيلية سنة ثلاث وسبعين، وسألته عن أشياء. وتوفي: في عقب شوال سنة أربع وسبعين.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2026-07-27T10:29:00+03:00</dcterms:created>
  <dcterms:modified xsi:type="dcterms:W3CDTF">2026-07-27T10:29:00+03:00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