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يحيى
</w:t>
      </w:r>
    </w:p>
    <w:p>
      <w:pPr/>
      <w:r>
        <w:rPr/>
        <w:t xml:space="preserve">فرج بن يحيى. عن ابن أبي ذئب.</w:t>
      </w:r>
    </w:p>
    <w:p/>
    <w:p>
      <w:pPr/>
      <w:r>
        <w:rPr/>
        <w:t xml:space="preserve">قال العقيلي.</w:t>
      </w:r>
    </w:p>
    <w:p/>
    <w:p>
      <w:pPr/>
      <w:r>
        <w:rPr/>
        <w:t xml:space="preserve">مضطرب الحديث.</w:t>
      </w:r>
    </w:p>
    <w:p/>
    <w:p>
      <w:pPr/>
      <w:r>
        <w:rPr/>
        <w:t xml:space="preserve">روى عنه عبد الملك بن وليد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يحيى
</w:t>
      </w:r>
    </w:p>
    <w:p>
      <w:pPr/>
      <w:r>
        <w:rPr/>
        <w:t xml:space="preserve">فرج بن يحيى: عن ابن أبي ذئب، قال العقيلي: مضطرب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2026-07-27T17:05:10+03:00</dcterms:created>
  <dcterms:modified xsi:type="dcterms:W3CDTF">2026-07-27T17:05:10+03:00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