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بن صالح
</w:t>
      </w:r>
    </w:p>
    <w:p>
      <w:pPr/>
      <w:r>
        <w:rPr/>
        <w:t xml:space="preserve">محمد بن جعفر بن صالح. تكلم فيه.</w:t>
      </w:r>
    </w:p>
    <w:p/>
    <w:p>
      <w:pPr/>
      <w:r>
        <w:rPr/>
        <w:t xml:space="preserve">وقيل محمد بن صالح بن جعفر.</w:t>
      </w:r>
    </w:p>
    <w:p/>
    <w:p>
      <w:pPr/>
      <w:r>
        <w:rPr/>
        <w:t xml:space="preserve">وفيه جهالة.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2026-07-27T14:15:41+03:00</dcterms:created>
  <dcterms:modified xsi:type="dcterms:W3CDTF">2026-07-27T14:15:41+03:00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