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الأزدي المهلبى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الأزدي المهلبى
</w:t>
      </w:r>
    </w:p>
    <w:p>
      <w:pPr/>
      <w:r>
        <w:rPr/>
        <w:t xml:space="preserve">محمد بن الحسن الأزدي المهلبى. عن مالك.</w:t>
      </w:r>
    </w:p>
    <w:p/>
    <w:p>
      <w:pPr/>
      <w:r>
        <w:rPr/>
        <w:t xml:space="preserve">قال ابن حبان: لا يجوز الاحتجاج به.</w:t>
      </w:r>
    </w:p>
    <w:p/>
    <w:p>
      <w:pPr/>
      <w:r>
        <w:rPr/>
        <w:t xml:space="preserve">قلت: روى عنه مدرك بن تمام.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المهلبي الأزدي
</w:t>
      </w:r>
    </w:p>
    <w:p>
      <w:pPr/>
      <w:r>
        <w:rPr/>
        <w:t xml:space="preserve">محمد بن الحسن المهلبي الأزدي: عن مالك، قال ابن حبان: لا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2026-07-27T13:55:50+03:00</dcterms:created>
  <dcterms:modified xsi:type="dcterms:W3CDTF">2026-07-27T13:55:50+03:00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