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خالد، شيخ لبقية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خالد، شيخ لبقية
</w:t>
      </w:r>
    </w:p>
    <w:p>
      <w:pPr/>
      <w:r>
        <w:rPr/>
        <w:t xml:space="preserve">يزيد بن خالد، شيخ لبقية. لا يدري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خالد
</w:t>
      </w:r>
    </w:p>
    <w:p>
      <w:pPr/>
      <w:r>
        <w:rPr/>
        <w:t xml:space="preserve">يزيد بن خالد: شيخ لبقية: مجهول كغالب شيوخه وهم عوام.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خالد
</w:t>
      </w:r>
    </w:p>
    <w:p>
      <w:pPr/>
      <w:r>
        <w:rPr/>
        <w:t xml:space="preserve">يزيد بن خالد </w:t>
      </w:r>
    </w:p>
    <w:p/>
    <w:p>
      <w:pPr/>
      <w:r>
        <w:rPr/>
        <w:t xml:space="preserve">يروي عن بقية قال الدارقطني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2026-07-23T19:34:41+03:00</dcterms:created>
  <dcterms:modified xsi:type="dcterms:W3CDTF">2026-07-23T19:34:41+03:00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