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الحكم
</w:t>
      </w:r>
    </w:p>
    <w:p>
      <w:pPr/>
      <w:r>
        <w:rPr/>
        <w:t xml:space="preserve">عبد الملك بن الحكم له عن مالك عن نافع عن ابن عمر مرفوعا</w:t>
      </w:r>
    </w:p>
    <w:p/>
    <w:p>
      <w:pPr/>
      <w:r>
        <w:rPr/>
        <w:t xml:space="preserve">آخر من يدخل الجنة رجل من جهينة يقال له جهينة فيقول أهل الجنة عند جهينة الخبر اليقين الحديث رواه جامع بن سوادة عن أحمد بن الحسين اللهبي عنه</w:t>
      </w:r>
    </w:p>
    <w:p/>
    <w:p>
      <w:pPr/>
      <w:r>
        <w:rPr/>
        <w:t xml:space="preserve">قال الدارقطني جامع ضعيف وكذلك عبد الملك بن الحكم أيضا قال والحديث باطل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2026-07-27T12:39:54+03:00</dcterms:created>
  <dcterms:modified xsi:type="dcterms:W3CDTF">2026-07-27T12:39:54+03:00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