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البراق بن روحان
</w:t>
      </w:r>
    </w:p>
    <w:p>
      <w:pPr>
        <w:jc w:val="start"/>
        <w:bidi/>
      </w:pPr>
      <w:r>
        <w:rPr>
          <w:rFonts w:ascii="arial" w:hAnsi="arial" w:eastAsia="arial" w:cs="arial"/>
          <w:sz w:val="28"/>
          <w:szCs w:val="28"/>
          <w:b w:val="1"/>
          <w:bCs w:val="1"/>
          <w:rtl/>
        </w:rPr>
        <w:t xml:space="preserve">البراق بن روحان
</w:t>
      </w:r>
    </w:p>
    <w:p>
      <w:pPr/>
      <w:r>
        <w:rPr/>
        <w:t xml:space="preserve">البراق بن روحان  البراق بن روحان بن سد بن بكر، من بني ربيعة، أبو نصر: شاعر جاهلي، من أقارب كليب والمهلهل. أصله من اليمن وشهرته وإقامته في البحرين. ويعد من شجعان الجاهليين ومن ذوي السيادة فيهم. وكانت بينه وبين طيء وقضاعة حروب انتهت بظفره وظهور قومه. وأكثر شعره في وصف حروبه</w:t>
      </w:r>
    </w:p>
    <w:p>
      <w:pPr>
        <w:jc w:val="start"/>
        <w:bidi/>
      </w:pPr>
      <w:r>
        <w:rPr>
          <w:sz w:val="24"/>
          <w:szCs w:val="24"/>
          <w:b w:val="1"/>
          <w:bCs w:val="1"/>
          <w:rtl/>
        </w:rPr>
        <w:t xml:space="preserve">
الأعلام،(دار العلم للملايين - بيروت،2002،ط 15،ج 2،ص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2026-07-27T11:30:05+03:00</dcterms:created>
  <dcterms:modified xsi:type="dcterms:W3CDTF">2026-07-27T11:30:05+03:00</dcterms:modified>
</cp:coreProperties>
</file>

<file path=docProps/custom.xml><?xml version="1.0" encoding="utf-8"?>
<Properties xmlns="http://schemas.openxmlformats.org/officeDocument/2006/custom-properties" xmlns:vt="http://schemas.openxmlformats.org/officeDocument/2006/docPropsVTypes"/>
</file>