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الحفصي
</w:t>
      </w:r>
    </w:p>
    <w:p>
      <w:pPr>
        <w:jc w:val="start"/>
        <w:bidi/>
      </w:pPr>
      <w:r>
        <w:rPr>
          <w:rFonts w:ascii="arial" w:hAnsi="arial" w:eastAsia="arial" w:cs="arial"/>
          <w:sz w:val="28"/>
          <w:szCs w:val="28"/>
          <w:b w:val="1"/>
          <w:bCs w:val="1"/>
          <w:rtl/>
        </w:rPr>
        <w:t xml:space="preserve">الشهيد الحفصي
</w:t>
      </w:r>
    </w:p>
    <w:p>
      <w:pPr/>
      <w:r>
        <w:rPr/>
        <w:t xml:space="preserve">الشهيد الحفصي  أبو بكر بن يحيى الواثق بن محمد بن يحيى بن عبد الواحد: من ملوك الدولة الحفصية في تونس. ولى بعد أخيه المستنصر (محمد بن يحيى) بعهد منه. ووثب عليه خالد الحفصي (ابن يحيى إبراهيم بن يحيى ابن عبد الواحد) فأراد أبو بكر قتاله فانفض عنه جنده، فاستسلم لخالد فقتله بتونس، فلقب بالشهيد. ومدة ولايته 17 يوما</w:t>
      </w:r>
    </w:p>
    <w:p>
      <w:pPr>
        <w:jc w:val="start"/>
        <w:bidi/>
      </w:pPr>
      <w:r>
        <w:rPr>
          <w:sz w:val="24"/>
          <w:szCs w:val="24"/>
          <w:b w:val="1"/>
          <w:bCs w:val="1"/>
          <w:rtl/>
        </w:rPr>
        <w:t xml:space="preserve">
الأعلام،(دار العلم للملايين - بيروت،2002،ط 15،ج 2،ص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2026-07-23T19:46:03+03:00</dcterms:created>
  <dcterms:modified xsi:type="dcterms:W3CDTF">2026-07-23T19:46:03+03:00</dcterms:modified>
</cp:coreProperties>
</file>

<file path=docProps/custom.xml><?xml version="1.0" encoding="utf-8"?>
<Properties xmlns="http://schemas.openxmlformats.org/officeDocument/2006/custom-properties" xmlns:vt="http://schemas.openxmlformats.org/officeDocument/2006/docPropsVTypes"/>
</file>