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المعظم
</w:t>
      </w:r>
    </w:p>
    <w:p>
      <w:pPr>
        <w:jc w:val="start"/>
        <w:bidi/>
      </w:pPr>
      <w:r>
        <w:rPr>
          <w:rFonts w:ascii="arial" w:hAnsi="arial" w:eastAsia="arial" w:cs="arial"/>
          <w:sz w:val="28"/>
          <w:szCs w:val="28"/>
          <w:b w:val="1"/>
          <w:bCs w:val="1"/>
          <w:rtl/>
        </w:rPr>
        <w:t xml:space="preserve">الملك المعظم
</w:t>
      </w:r>
    </w:p>
    <w:p>
      <w:pPr/>
      <w:r>
        <w:rPr/>
        <w:t xml:space="preserve">الملك المعظم تورانشاه (المعظم) ابن الملك الناصر صلاح الدين يوسف بن أيوب بن شاذي، أبو المفاخر: من أمراء الايوبيين. ورابع من تلقب بالملك المعظم منهم. ولم يل السلطنة. ولد بمصر. وكان كبير البيت الأيوبي. وآخر من بقي من أولاد السلطان صلاح الدين. وتفقه وتلقى الحديث في دمشق. وحدث. وخرج له الحافظ التوني (جزءا) في الحديث. وتولى قيادة الجيش الحلبي زمنا. وحضر وقائع. وكان شجاعا عاقلا. وأسره الخوارزمية (سنة 638) بقرب الفرات، بعد أن أثخن بالجراح وانهزم عسكره. ولما استولى التتار على حلب، اعتصم بقلعتها وحماها. ثم نزل منها بالأمان. وتوفي على الأثر، ودفن بدهليز داره (بحلب).</w:t>
      </w:r>
    </w:p>
    <w:p>
      <w:pPr>
        <w:jc w:val="start"/>
        <w:bidi/>
      </w:pPr>
      <w:r>
        <w:rPr>
          <w:sz w:val="24"/>
          <w:szCs w:val="24"/>
          <w:b w:val="1"/>
          <w:bCs w:val="1"/>
          <w:rtl/>
        </w:rPr>
        <w:t xml:space="preserve">
الأعلام،(دار العلم للملايين - بيروت،2002،ط 15،ج 2،ص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2026-07-23T18:02:28+03:00</dcterms:created>
  <dcterms:modified xsi:type="dcterms:W3CDTF">2026-07-23T18:02:28+03:00</dcterms:modified>
</cp:coreProperties>
</file>

<file path=docProps/custom.xml><?xml version="1.0" encoding="utf-8"?>
<Properties xmlns="http://schemas.openxmlformats.org/officeDocument/2006/custom-properties" xmlns:vt="http://schemas.openxmlformats.org/officeDocument/2006/docPropsVTypes"/>
</file>