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أحمد بن خلف بن المطلب بن حيدر
</w:t>
      </w:r>
    </w:p>
    <w:p>
      <w:pPr>
        <w:jc w:val="start"/>
        <w:bidi/>
      </w:pPr>
      <w:r>
        <w:rPr>
          <w:rFonts w:ascii="arial" w:hAnsi="arial" w:eastAsia="arial" w:cs="arial"/>
          <w:sz w:val="28"/>
          <w:szCs w:val="28"/>
          <w:b w:val="1"/>
          <w:bCs w:val="1"/>
          <w:rtl/>
        </w:rPr>
        <w:t xml:space="preserve">السيد أحمد بن خلف بن المطلب بن حيدر
</w:t>
      </w:r>
    </w:p>
    <w:p>
      <w:pPr/>
      <w:r>
        <w:rPr/>
        <w:t xml:space="preserve">السيد أحمد بن خلف بن المطلب بن حيدر الموسوي المشعشعي أخو السيد علي خان حاكم الحويزة</w:t>
      </w:r>
    </w:p>
    <w:p/>
    <w:p>
      <w:pPr/>
      <w:r>
        <w:rPr/>
        <w:t xml:space="preserve">عالم ورع كامل أديب زاهد لم يدخل في شيء من أمر أخوته وعصبته ولاة الجزيرة بل كان يمتنع من أخذ جوائزهم ويكتفي بغلة زرعه جاور أئمة العراق عليهم السلام إلى أن مات في المشاهد المشرفة له مسائل أجاب عنها السيد عبد الله بن نور الدين الجزائري وله ديوان شعر. </w:t>
      </w:r>
    </w:p>
    <w:p>
      <w:pPr>
        <w:jc w:val="start"/>
        <w:bidi/>
      </w:pPr>
      <w:r>
        <w:rPr>
          <w:sz w:val="24"/>
          <w:szCs w:val="24"/>
          <w:b w:val="1"/>
          <w:bCs w:val="1"/>
          <w:rtl/>
        </w:rPr>
        <w:t xml:space="preserve">
أعيان الشيعة،(دار التعارف للمطبوعات - بيروت،1983،ط 1،ج 2،ص 586)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2026-07-27T13:48:54+03:00</dcterms:created>
  <dcterms:modified xsi:type="dcterms:W3CDTF">2026-07-27T13:48:54+03:00</dcterms:modified>
</cp:coreProperties>
</file>

<file path=docProps/custom.xml><?xml version="1.0" encoding="utf-8"?>
<Properties xmlns="http://schemas.openxmlformats.org/officeDocument/2006/custom-properties" xmlns:vt="http://schemas.openxmlformats.org/officeDocument/2006/docPropsVTypes"/>
</file>