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يحيى بن مهدي الغبريني أبو مهدي.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يحيى بن مهدي الغبريني أبو مهدي.
</w:t>
      </w:r>
    </w:p>
    <w:p>
      <w:pPr/>
      <w:r>
        <w:rPr/>
        <w:t xml:space="preserve">عيسى بن يحيى بن مهدي الغبريني أبو مهدي. </w:t>
      </w:r>
    </w:p>
    <w:p/>
    <w:p/>
    <w:p>
      <w:pPr/>
      <w:r>
        <w:rPr/>
        <w:t xml:space="preserve">قاضي الجماعة بتونس المحروسة.</w:t>
      </w:r>
    </w:p>
    <w:p/>
    <w:p/>
    <w:p>
      <w:pPr/>
      <w:r>
        <w:rPr/>
        <w:t xml:space="preserve">أخذ عنه أبو القاسم بن ناحي، والقاضي الأعدل أبو العباس بن قنفذ الفسنطيني، وغيرهما.</w:t>
      </w:r>
    </w:p>
    <w:p/>
    <w:p/>
    <w:p>
      <w:pPr/>
      <w:r>
        <w:rPr/>
        <w:t xml:space="preserve">توفي سنة 810.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2026-07-27T11:53:27+03:00</dcterms:created>
  <dcterms:modified xsi:type="dcterms:W3CDTF">2026-07-27T11:53:27+03:00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