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إسماعيل بن آقا محمد بن المولى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إسماعيل بن آقا محمد بن المولى
</w:t>
      </w:r>
    </w:p>
    <w:p>
      <w:pPr/>
      <w:r>
        <w:rPr/>
        <w:t xml:space="preserve">الشيخ إسماعيل بن آقا محمد بن المولى تقي الشهيد البرغاني القزويني</w:t>
      </w:r>
    </w:p>
    <w:p/>
    <w:p>
      <w:pPr/>
      <w:r>
        <w:rPr/>
        <w:t xml:space="preserve">في المآثر والآثار: مع إن أمه قرة العين البابية المشهورة المذكورة في التواريخ فهو نفسه كان صاحب مقام سام في التقوى والفضل والقدس والعدالة وله في الخطابة لسان مليح وبيان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2026-07-25T22:28:33+03:00</dcterms:created>
  <dcterms:modified xsi:type="dcterms:W3CDTF">2026-07-25T22:28:33+03:00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