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الأمير فخر الدين بغدي
</w:t>
      </w:r>
    </w:p>
    <w:p>
      <w:pPr>
        <w:jc w:val="start"/>
        <w:bidi/>
      </w:pPr>
      <w:r>
        <w:rPr>
          <w:rFonts w:ascii="arial" w:hAnsi="arial" w:eastAsia="arial" w:cs="arial"/>
          <w:sz w:val="28"/>
          <w:szCs w:val="28"/>
          <w:b w:val="1"/>
          <w:bCs w:val="1"/>
          <w:rtl/>
        </w:rPr>
        <w:t xml:space="preserve">الأمير فخر الدين بغدي
</w:t>
      </w:r>
    </w:p>
    <w:p>
      <w:pPr/>
      <w:r>
        <w:rPr/>
        <w:t xml:space="preserve">الأمير فخر الدين بغدي وفي بعض المواضع مغدي بن شرف الدين علي ابن الأمير جمال الدين قشتمر</w:t>
      </w:r>
    </w:p>
    <w:p/>
    <w:p>
      <w:pPr/>
      <w:r>
        <w:rPr/>
        <w:t xml:space="preserve">ولد سنة 630 وكان حيا سنة 677.</w:t>
      </w:r>
    </w:p>
    <w:p/>
    <w:p>
      <w:pPr/>
      <w:r>
        <w:rPr/>
        <w:t xml:space="preserve">كان جده قشتمر من مماليك قطب الدين سنجر وانتقل منه إلى الخليفة الناصر العباسي وارتقت حاله عنده إلى إن توفي في سنة 637 ببغداد وحمل إلى مشهد الحسين عليه السلام وفي تربة له فيها زوجته وولده علي والد صاحب الترجمة وبذلك علمنا تشيع المترجم وأبيه وجده وعمه مظفر الدين محمد كما يأتي في تراجمهم إن شاء الله تعالى ونقلنا هذا من الحوادث الجامعة لابن الفوطي وقال فيها أيضا في سنة 635 توفي الأمير شرف الدين علي بن الأمير جمال الدين قشتمر ودفن عند والدته بمشهد الحسين عليه السلام واستدعي جمال الدين قشتمر إلى دار الوزارة ومعه ولده مظفر الدين محمد وولد ولده شرف الدين علي المتوفي وهو فخر الدين بغدي أو مغدي فخلع على مظفر الدين وجعل أميرا على مائة فارس وعمره يومئذ ثلاث عشرة سنة وخلع على فخر الدين بغدي أو مغدي وجعل أميرا على عدة خمسين فارسا وعمره يومئذ خمس سنين ثم خلع على الأمير جمال الدين قشتمر كل ذلك جبرا لقلبه من فجعته بولده. ثم ذكر في حوادث 677 إن رجلا يعرف بالنجم بن الحسين ويلقب بالكيباية التجأ إلى شحنة بغداد من قبل التتار وكان كيباية من دلالي العقار يتمسخر ويضحك عليه من يعاشره وكان سبب قربه من الشحنة التزامه بأحمد الشرابدار وهذا أحمد من أهل واسط أسر في واقعة التتار ثم خلص وصار يعصر الشراب في شرابخانه الديوان فاتفق هو والكيباية على إن نسبا أكابر أهل بغداد إلى مكاتبة سلاطين الشام باتفاق صاحب الديوان عطا ملك الجويني وقال الكيباية إن فخر الدين بغدي بن قشتمر كان أيضا من جملة الجماعة الذين اتفقوا على المكاتبة ثم ظهر كذب الكيباية فقتل (انتهى ملخصا) هذا جملة ما عرفناه من أحوال المترجم.</w:t>
      </w:r>
    </w:p>
    <w:p>
      <w:pPr>
        <w:jc w:val="start"/>
        <w:bidi/>
      </w:pPr>
      <w:r>
        <w:rPr>
          <w:sz w:val="24"/>
          <w:szCs w:val="24"/>
          <w:b w:val="1"/>
          <w:bCs w:val="1"/>
          <w:rtl/>
        </w:rPr>
        <w:t xml:space="preserve">
أعيان الشيعة،(دار التعارف للمطبوعات - بيروت،1983،ط 1،ج 3،ص 587)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2026-07-26T17:42:09+03:00</dcterms:created>
  <dcterms:modified xsi:type="dcterms:W3CDTF">2026-07-26T17:42:09+03:00</dcterms:modified>
</cp:coreProperties>
</file>

<file path=docProps/custom.xml><?xml version="1.0" encoding="utf-8"?>
<Properties xmlns="http://schemas.openxmlformats.org/officeDocument/2006/custom-properties" xmlns:vt="http://schemas.openxmlformats.org/officeDocument/2006/docPropsVTypes"/>
</file>