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تقي الدين بن عبد الله الحلي
</w:t>
      </w:r>
    </w:p>
    <w:p>
      <w:pPr>
        <w:jc w:val="start"/>
        <w:bidi/>
      </w:pPr>
      <w:r>
        <w:rPr>
          <w:rFonts w:ascii="arial" w:hAnsi="arial" w:eastAsia="arial" w:cs="arial"/>
          <w:sz w:val="28"/>
          <w:szCs w:val="28"/>
          <w:b w:val="1"/>
          <w:bCs w:val="1"/>
          <w:rtl/>
        </w:rPr>
        <w:t xml:space="preserve">تقي الدين بن عبد الله الحلي
</w:t>
      </w:r>
    </w:p>
    <w:p>
      <w:pPr/>
      <w:r>
        <w:rPr/>
        <w:t xml:space="preserve">تقي الدين بن عبد الله الحلي لم يستبعد صاحب الرياض كونه صاحب كتاب الآيات النازلة في فضائل العترة الطاهرة وهي خمسمائة آية مع تفسيرها جعلها في ذيل كتابه الدر الثمين في أسرار الأنزع البطين الذي انتخبه من كتاب مشارق الأنوار للشيخ رجب البرسي وقال صاحب الرياض أنه كتاب حسن جيد لطيف ويأتي تقي الدين عبد الله الحلي المنسوب إليه هذا الكتاب وكتاب الدر الثمين ولعلهما واحد ووقع تحريف في أحد الاسمين.</w:t>
      </w:r>
    </w:p>
    <w:p>
      <w:pPr>
        <w:jc w:val="start"/>
        <w:bidi/>
      </w:pPr>
      <w:r>
        <w:rPr>
          <w:sz w:val="24"/>
          <w:szCs w:val="24"/>
          <w:b w:val="1"/>
          <w:bCs w:val="1"/>
          <w:rtl/>
        </w:rPr>
        <w:t xml:space="preserve">
أعيان الشيعة،(دار التعارف للمطبوعات - بيروت،1983،ط 1،ج 3،ص 634)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2026-07-27T13:26:08+03:00</dcterms:created>
  <dcterms:modified xsi:type="dcterms:W3CDTF">2026-07-27T13:26:08+03:00</dcterms:modified>
</cp:coreProperties>
</file>

<file path=docProps/custom.xml><?xml version="1.0" encoding="utf-8"?>
<Properties xmlns="http://schemas.openxmlformats.org/officeDocument/2006/custom-properties" xmlns:vt="http://schemas.openxmlformats.org/officeDocument/2006/docPropsVTypes"/>
</file>