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أعصم المكفوف
</w:t>
      </w:r>
    </w:p>
    <w:p>
      <w:pPr>
        <w:jc w:val="start"/>
        <w:bidi/>
      </w:pPr>
      <w:r>
        <w:rPr>
          <w:rFonts w:ascii="arial" w:hAnsi="arial" w:eastAsia="arial" w:cs="arial"/>
          <w:sz w:val="28"/>
          <w:szCs w:val="28"/>
          <w:b w:val="1"/>
          <w:bCs w:val="1"/>
          <w:rtl/>
        </w:rPr>
        <w:t xml:space="preserve">جابر بن أعصم المكفوف
</w:t>
      </w:r>
    </w:p>
    <w:p>
      <w:pPr/>
      <w:r>
        <w:rPr/>
        <w:t xml:space="preserve">جابر بن أعصم المكفوف في لسان الميزان: جابر بن أعصم المكفوف ذكره الكشي في رجال الشيعة. وقال علي بن الحكم: كان شديدا على الناصبية. وقال الطوسي: روى عن جعفر الصادق ’’أه’’. والذي في رجاله الكشي ورجال الشيخ جابر المكفوف ولم يذكرا أنه ابن أعصم كما سيأتي، وكأن ابن حجر اطلع على أنه ابن أعصم من كلام علي بن الحكم الذي ينقل عنه كثيرا، والظاهر أن كتابه كان عنده وهو من أجلاء علماء الشيعة مذكور في الرجال.</w:t>
      </w:r>
    </w:p>
    <w:p>
      <w:pPr>
        <w:jc w:val="start"/>
        <w:bidi/>
      </w:pPr>
      <w:r>
        <w:rPr>
          <w:sz w:val="24"/>
          <w:szCs w:val="24"/>
          <w:b w:val="1"/>
          <w:bCs w:val="1"/>
          <w:rtl/>
        </w:rPr>
        <w:t xml:space="preserve">
أعيان الشيعة،(دار التعارف للمطبوعات - بيروت،1983،ط 1،ج 4،ص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2026-07-25T15:05:03+03:00</dcterms:created>
  <dcterms:modified xsi:type="dcterms:W3CDTF">2026-07-25T15:05:03+03:00</dcterms:modified>
</cp:coreProperties>
</file>

<file path=docProps/custom.xml><?xml version="1.0" encoding="utf-8"?>
<Properties xmlns="http://schemas.openxmlformats.org/officeDocument/2006/custom-properties" xmlns:vt="http://schemas.openxmlformats.org/officeDocument/2006/docPropsVTypes"/>
</file>