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جندي عبد الملك
</w:t>
      </w:r>
    </w:p>
    <w:p>
      <w:pPr>
        <w:jc w:val="start"/>
        <w:bidi/>
      </w:pPr>
      <w:r>
        <w:rPr>
          <w:rFonts w:ascii="arial" w:hAnsi="arial" w:eastAsia="arial" w:cs="arial"/>
          <w:sz w:val="28"/>
          <w:szCs w:val="28"/>
          <w:b w:val="1"/>
          <w:bCs w:val="1"/>
          <w:rtl/>
        </w:rPr>
        <w:t xml:space="preserve">جندي عبد الملك
</w:t>
      </w:r>
    </w:p>
    <w:p>
      <w:pPr/>
      <w:r>
        <w:rPr/>
        <w:t xml:space="preserve">جندي عبد الملك  جندي بن عبد الملك المصري: قانوني قبطي. ولد في قرية بشبين الكوم (بالمنوفية) وتخرج بكلية الحقوق في القاهرة. وتقدم في المناصب إلى أن كان رئيسا لنيابة الاستئناف، فمستشارا بالنقض والإبرام. وولي وزارة التموين مدة قصيرة، قبيل وفاته. ومات بالقاهرة. له كتب، منها (مجموعة المبادئ الجنائية - ط) و (الموسوعة الجنائية - ط) مرتبة على حروف الهجاء، خمسة أجزاء. </w:t>
      </w:r>
    </w:p>
    <w:p>
      <w:pPr>
        <w:jc w:val="start"/>
        <w:bidi/>
      </w:pPr>
      <w:r>
        <w:rPr>
          <w:sz w:val="24"/>
          <w:szCs w:val="24"/>
          <w:b w:val="1"/>
          <w:bCs w:val="1"/>
          <w:rtl/>
        </w:rPr>
        <w:t xml:space="preserve">
الأعلام،(دار العلم للملايين - بيروت،2002،ط 15،ج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2026-07-27T10:53:44+03:00</dcterms:created>
  <dcterms:modified xsi:type="dcterms:W3CDTF">2026-07-27T10:53:44+03:00</dcterms:modified>
</cp:coreProperties>
</file>

<file path=docProps/custom.xml><?xml version="1.0" encoding="utf-8"?>
<Properties xmlns="http://schemas.openxmlformats.org/officeDocument/2006/custom-properties" xmlns:vt="http://schemas.openxmlformats.org/officeDocument/2006/docPropsVTypes"/>
</file>