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الدين
</w:t>
      </w:r>
    </w:p>
    <w:p>
      <w:pPr>
        <w:jc w:val="start"/>
        <w:bidi/>
      </w:pPr>
      <w:r>
        <w:rPr>
          <w:rFonts w:ascii="arial" w:hAnsi="arial" w:eastAsia="arial" w:cs="arial"/>
          <w:sz w:val="28"/>
          <w:szCs w:val="28"/>
          <w:b w:val="1"/>
          <w:bCs w:val="1"/>
          <w:rtl/>
        </w:rPr>
        <w:t xml:space="preserve">ابن شهاب الدين
</w:t>
      </w:r>
    </w:p>
    <w:p>
      <w:pPr/>
      <w:r>
        <w:rPr/>
        <w:t xml:space="preserve">ابن شهاب الدين  حسن بن علوى بن شهاب الدين العلوى: باحث، من فضلاء تريم، في حضر موت. ولد بها، وأقام زمنا في سنقفورة. وجاهر بآراء كان ينشرها في الصحف المصرية كالمؤيد والمنار، والصحف الحضرمية كمجلة الإمام، وجريدة الإصلاح الصادرة في سنقفورة. وكان عنيفا في جدله، كثير النقد للشيوخ، فكثر خصومه من أهل تريم وغيرها. وأنشأ جريدة (الوطن) وتوفى في تريم. وله كتب منها (نحلة الوطن - ط) و (الإنصاف بين النحلة والإتحاف - ط) نسبة إلى أحمد فهيم صدقى الدسوقى الأزهرى، و (الرقية الشافية في الرد على النصائح الكافية - ط) وله شعر، في بعضه جودة</w:t>
      </w:r>
    </w:p>
    <w:p>
      <w:pPr>
        <w:jc w:val="start"/>
        <w:bidi/>
      </w:pPr>
      <w:r>
        <w:rPr>
          <w:sz w:val="24"/>
          <w:szCs w:val="24"/>
          <w:b w:val="1"/>
          <w:bCs w:val="1"/>
          <w:rtl/>
        </w:rPr>
        <w:t xml:space="preserve">
الأعلام،(دار العلم للملايين - بيروت،2002،ط 15،ج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2026-07-23T18:01:34+03:00</dcterms:created>
  <dcterms:modified xsi:type="dcterms:W3CDTF">2026-07-23T18:01:34+03:00</dcterms:modified>
</cp:coreProperties>
</file>

<file path=docProps/custom.xml><?xml version="1.0" encoding="utf-8"?>
<Properties xmlns="http://schemas.openxmlformats.org/officeDocument/2006/custom-properties" xmlns:vt="http://schemas.openxmlformats.org/officeDocument/2006/docPropsVTypes"/>
</file>