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رحمة الله الكعبي أمير الأهواز
</w:t>
      </w:r>
    </w:p>
    <w:p>
      <w:pPr>
        <w:jc w:val="start"/>
        <w:bidi/>
      </w:pPr>
      <w:r>
        <w:rPr>
          <w:rFonts w:ascii="arial" w:hAnsi="arial" w:eastAsia="arial" w:cs="arial"/>
          <w:sz w:val="28"/>
          <w:szCs w:val="28"/>
          <w:b w:val="1"/>
          <w:bCs w:val="1"/>
          <w:rtl/>
        </w:rPr>
        <w:t xml:space="preserve">الشيخ رحمة الله الكعبي أمير الأهواز
</w:t>
      </w:r>
    </w:p>
    <w:p>
      <w:pPr/>
      <w:r>
        <w:rPr/>
        <w:t xml:space="preserve">الشيخ رحمة الله الكعبي أمير الأهواز كانت إليه إمارة الأهواز من قبل الدولة الإيرانية في عهد القاجاريين بوجه الإقطاع وهو شيخ قبيلة كعب العربية المقيمة في الأهواز إلى أن تغلب على المحمرة صنيعته الحاج جابر خان الكعبي ثم انتقلت الإمارة إلى أولاد أخيه بسعي أولاد الحاج جابر مزعل وخزعل حتى انقرضت إمارتهم وذكرنا خبر ذلك في ترجمة الحاج جابر وولايه المذكورين. </w:t>
      </w:r>
    </w:p>
    <w:p>
      <w:pPr>
        <w:jc w:val="start"/>
        <w:bidi/>
      </w:pPr>
      <w:r>
        <w:rPr>
          <w:sz w:val="24"/>
          <w:szCs w:val="24"/>
          <w:b w:val="1"/>
          <w:bCs w:val="1"/>
          <w:rtl/>
        </w:rPr>
        <w:t xml:space="preserve">
أعيان الشيعة،(دار التعارف للمطبوعات - بيروت،1983،ط 1،ج 6،ص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2026-07-27T13:48:35+03:00</dcterms:created>
  <dcterms:modified xsi:type="dcterms:W3CDTF">2026-07-27T13:48:35+03:00</dcterms:modified>
</cp:coreProperties>
</file>

<file path=docProps/custom.xml><?xml version="1.0" encoding="utf-8"?>
<Properties xmlns="http://schemas.openxmlformats.org/officeDocument/2006/custom-properties" xmlns:vt="http://schemas.openxmlformats.org/officeDocument/2006/docPropsVTypes"/>
</file>