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الصدر البكري
</w:t>
      </w:r>
    </w:p>
    <w:p>
      <w:pPr>
        <w:jc w:val="start"/>
        <w:bidi/>
      </w:pPr>
      <w:r>
        <w:rPr>
          <w:rFonts w:ascii="arial" w:hAnsi="arial" w:eastAsia="arial" w:cs="arial"/>
          <w:sz w:val="28"/>
          <w:szCs w:val="28"/>
          <w:b w:val="1"/>
          <w:bCs w:val="1"/>
          <w:rtl/>
        </w:rPr>
        <w:t xml:space="preserve">الصدر البكري
</w:t>
      </w:r>
    </w:p>
    <w:p>
      <w:pPr/>
      <w:r>
        <w:rPr/>
        <w:t xml:space="preserve">الصدر البكري  الحسن بن محمد بن محمد ابن عمروك التيمى النيسابورى ثم الدمشقى، أبو على، صدر الدين البكرى: من حفاظ الحديث، وضعفه بعضهم. وله اشتغال بالتاريخ. استقر بدمشق، وولى مشيخة الشيوخ والحسبة. وابتلى بالفالج. ورحل إلى مصر فمات بها. له تصانيف ومجاميع. وشرع في تأليف (ذل على تاريخ ابن عساكر)</w:t>
      </w:r>
    </w:p>
    <w:p>
      <w:pPr>
        <w:jc w:val="start"/>
        <w:bidi/>
      </w:pPr>
      <w:r>
        <w:rPr>
          <w:sz w:val="24"/>
          <w:szCs w:val="24"/>
          <w:b w:val="1"/>
          <w:bCs w:val="1"/>
          <w:rtl/>
        </w:rPr>
        <w:t xml:space="preserve">
الأعلام،(دار العلم للملايين - بيروت،2002،ط 15،ج 2،ص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2026-07-23T18:54:04+03:00</dcterms:created>
  <dcterms:modified xsi:type="dcterms:W3CDTF">2026-07-23T18:54:04+03:00</dcterms:modified>
</cp:coreProperties>
</file>

<file path=docProps/custom.xml><?xml version="1.0" encoding="utf-8"?>
<Properties xmlns="http://schemas.openxmlformats.org/officeDocument/2006/custom-properties" xmlns:vt="http://schemas.openxmlformats.org/officeDocument/2006/docPropsVTypes"/>
</file>