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سليمان المنكري
</w:t>
      </w:r>
    </w:p>
    <w:p>
      <w:pPr>
        <w:jc w:val="start"/>
        <w:bidi/>
      </w:pPr>
      <w:r>
        <w:rPr>
          <w:rFonts w:ascii="arial" w:hAnsi="arial" w:eastAsia="arial" w:cs="arial"/>
          <w:sz w:val="28"/>
          <w:szCs w:val="28"/>
          <w:b w:val="1"/>
          <w:bCs w:val="1"/>
          <w:rtl/>
        </w:rPr>
        <w:t xml:space="preserve">الشيخ سليمان المنكري
</w:t>
      </w:r>
    </w:p>
    <w:p>
      <w:pPr/>
      <w:r>
        <w:rPr/>
        <w:t xml:space="preserve">الشيخ سليمان المنكري من أمراء جبل عامل حكام مقاطعة التفاح</w:t>
      </w:r>
    </w:p>
    <w:p/>
    <w:p>
      <w:pPr/>
      <w:r>
        <w:rPr/>
        <w:t xml:space="preserve">توفي سنة 1147.</w:t>
      </w:r>
    </w:p>
    <w:p/>
    <w:p>
      <w:pPr/>
      <w:r>
        <w:rPr/>
        <w:t xml:space="preserve">والمنكري نسبة إلى لفظ منكر مقابل المعروف وهؤلاء كان أصلهم من أهل العلم ثم صاروا حكام وأمراء ولقبوا بالمشايخ على العادة في تلقيب طبقة من الأمراء بذلك وكان المترجم من جملتهم.</w:t>
      </w:r>
    </w:p>
    <w:p>
      <w:pPr>
        <w:jc w:val="start"/>
        <w:bidi/>
      </w:pPr>
      <w:r>
        <w:rPr>
          <w:sz w:val="24"/>
          <w:szCs w:val="24"/>
          <w:b w:val="1"/>
          <w:bCs w:val="1"/>
          <w:rtl/>
        </w:rPr>
        <w:t xml:space="preserve">
أعيان الشيعة،(دار التعارف للمطبوعات - بيروت،1983،ط 1،ج 7،ص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2026-07-27T13:42:09+03:00</dcterms:created>
  <dcterms:modified xsi:type="dcterms:W3CDTF">2026-07-27T13:42:09+03:00</dcterms:modified>
</cp:coreProperties>
</file>

<file path=docProps/custom.xml><?xml version="1.0" encoding="utf-8"?>
<Properties xmlns="http://schemas.openxmlformats.org/officeDocument/2006/custom-properties" xmlns:vt="http://schemas.openxmlformats.org/officeDocument/2006/docPropsVTypes"/>
</file>