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عبد الله ابن السيد أبي القاسم
</w:t>
      </w:r>
    </w:p>
    <w:p>
      <w:pPr>
        <w:jc w:val="start"/>
        <w:bidi/>
      </w:pPr>
      <w:r>
        <w:rPr>
          <w:rFonts w:ascii="arial" w:hAnsi="arial" w:eastAsia="arial" w:cs="arial"/>
          <w:sz w:val="28"/>
          <w:szCs w:val="28"/>
          <w:b w:val="1"/>
          <w:bCs w:val="1"/>
          <w:rtl/>
        </w:rPr>
        <w:t xml:space="preserve">السيد عبد الله ابن السيد أبي القاسم
</w:t>
      </w:r>
    </w:p>
    <w:p>
      <w:pPr/>
      <w:r>
        <w:rPr/>
        <w:t xml:space="preserve">السيد عبد الله ابن السيد أبي القاسم ابن الحاج علي ابن السيد محمد الكبير ابن السيد عبد الله البلادي البحراني الموسوي الغريفي العلامة في أكثر الفنون الإسلامية لا سيما الحديث والفقه والتفسير والكلام والحكمة والأدب ولد يوم الخميس ثاني جمادى الثانية سنة 1291 أخذ الفقه والأصول عن صاحب الكفاية ومعاصره العلامة السيد محمد كاظم اليزدي وشيخ الشريعة والشيخ يوسف الشفتي والشيخ أسد الله الزنجاني والسيد محمد بحر العلوم والعلوم والرياضيات والطب عن محمد رحيم الكازروني والسيد عبد الرضا وغيرهما والهيئة الجديدة عن الميرزا حبيب الله العراقي والرجال عن شيخ الشريعة وله تأليف كثيرة في العلوم المختلفة تبلغ أربعين عددا منها طرق الواعظ وزلال المعين والكشكول في جزأين طبع بشيراز والردود الستة على ابن تيمية في الإمامة ورحلة الحرمين في مناسك الحج فارسي ومظهر الأنوار في الكلمات القصار وفوائد الموائد في الأطعمة وراحلة الجنان في أعمال الملوان والشمس الطالعة في شرح الزيارة الجامعة وإيقاظ الحبيب في مظالم الصليب وروح النور في معرفة الرب الغفور وتذكرة الألباب في علم الأنساب والغيث الزابد في ذرية محمد العابد ابن الإمام الكاظم وضياء المستضيئين وسدول الجلباب ومقامع الحديد أو الزاجر للقوم الجديد وآيات التكوين والكلام الوجيز في تمرين المستجيز والغصن الثالث في نسب أسرته الكريمة ومنظومة سلوة الحزين ونوادر المآثر والكهف الحصين في الدين المبين ثلاث مجلدات وكشف الأسرار وكتاب الأبرار وتوضيح المآرب في أحكام اللحى والشوارد والدعوات النورية ورسالة حب الله وكتاب القضاء والشهادة وبروج الفحول في علم الأصول والسوانح واللوائح في سوانح عمره ببلدة شيراز وسراج الصراط والمقالات في السياسات الإسلامية يروي عن جماعة منهم الشيخ عبد الهادي شليله الهمداني والسيد محمد آل بحر العلوم وشيخ الشريعة وابن عمه السيد عبد الله والبهبهاني قتيل الانقلاب الدستوري بطهران. ويروي عن صاحب الترجمة جماعة منه السيد شهاب الدين النجفي الحسيني الحسني النسابة المرعشي وأستاذه السيد مهدي بن علي الغريفي الموسوي البحراني نزيل النجف الأشرف المتوفى بالبصرة وغيرهم.</w:t>
      </w:r>
    </w:p>
    <w:p>
      <w:pPr>
        <w:jc w:val="start"/>
        <w:bidi/>
      </w:pPr>
      <w:r>
        <w:rPr>
          <w:sz w:val="24"/>
          <w:szCs w:val="24"/>
          <w:b w:val="1"/>
          <w:bCs w:val="1"/>
          <w:rtl/>
        </w:rPr>
        <w:t xml:space="preserve">
أعيان الشيعة،(دار التعارف للمطبوعات - بيروت،1983،ط 1،ج 8،ص 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2026-07-25T17:53:43+03:00</dcterms:created>
  <dcterms:modified xsi:type="dcterms:W3CDTF">2026-07-25T17:53:43+03:00</dcterms:modified>
</cp:coreProperties>
</file>

<file path=docProps/custom.xml><?xml version="1.0" encoding="utf-8"?>
<Properties xmlns="http://schemas.openxmlformats.org/officeDocument/2006/custom-properties" xmlns:vt="http://schemas.openxmlformats.org/officeDocument/2006/docPropsVTypes"/>
</file>