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علاء الدين ابن الشيخ أمين الدين
</w:t>
      </w:r>
    </w:p>
    <w:p>
      <w:pPr>
        <w:jc w:val="start"/>
        <w:bidi/>
      </w:pPr>
      <w:r>
        <w:rPr>
          <w:rFonts w:ascii="arial" w:hAnsi="arial" w:eastAsia="arial" w:cs="arial"/>
          <w:sz w:val="28"/>
          <w:szCs w:val="28"/>
          <w:b w:val="1"/>
          <w:bCs w:val="1"/>
          <w:rtl/>
        </w:rPr>
        <w:t xml:space="preserve">الشيخ علاء الدين ابن الشيخ أمين الدين
</w:t>
      </w:r>
    </w:p>
    <w:p>
      <w:pPr/>
      <w:r>
        <w:rPr/>
        <w:t xml:space="preserve">الشيخ علاء الدين ابن الشيخ أمين الدين ابن الشيخ ضياء الدين ابن الشيخ صفي الدين </w:t>
      </w:r>
    </w:p>
    <w:p/>
    <w:p>
      <w:pPr/>
      <w:r>
        <w:rPr/>
        <w:t xml:space="preserve">ابن الشيخ فخر الدين ابن الشيخ محمد الطريحي</w:t>
      </w:r>
    </w:p>
    <w:p/>
    <w:p>
      <w:pPr/>
      <w:r>
        <w:rPr/>
        <w:t xml:space="preserve">ولد سنة 1165 وتوفي في النجف الأشرف سنة 1236 ودفن في مقبرتهم التي في دارهم. كان عالما فاضلا ورعا وكان يصلي في إيوان الذهب في الحضرة الشريفة ويأتم به الجم الغفير، قرأ على الشيخ جعفر صاحب كشف الغطاء وقد إجازه إجازة أثنى عليه فيها ثناء بليغا موجودة بخطه عند أحفاده تخلف بولدين: الشيخ نعمة والشيخ طعمة، له حياة الأرواح إلى طريق الحق والإصلاح.</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2026-07-27T10:19:19+03:00</dcterms:created>
  <dcterms:modified xsi:type="dcterms:W3CDTF">2026-07-27T10:19:19+03:00</dcterms:modified>
</cp:coreProperties>
</file>

<file path=docProps/custom.xml><?xml version="1.0" encoding="utf-8"?>
<Properties xmlns="http://schemas.openxmlformats.org/officeDocument/2006/custom-properties" xmlns:vt="http://schemas.openxmlformats.org/officeDocument/2006/docPropsVTypes"/>
</file>