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غياث الدين أبو الفتح كيخسرو بن أبي المجد
</w:t>
      </w:r>
    </w:p>
    <w:p>
      <w:pPr>
        <w:jc w:val="start"/>
        <w:bidi/>
      </w:pPr>
      <w:r>
        <w:rPr>
          <w:rFonts w:ascii="arial" w:hAnsi="arial" w:eastAsia="arial" w:cs="arial"/>
          <w:sz w:val="28"/>
          <w:szCs w:val="28"/>
          <w:b w:val="1"/>
          <w:bCs w:val="1"/>
          <w:rtl/>
        </w:rPr>
        <w:t xml:space="preserve">غياث الدين أبو الفتح كيخسرو بن أبي المجد
</w:t>
      </w:r>
    </w:p>
    <w:p>
      <w:pPr/>
      <w:r>
        <w:rPr/>
        <w:t xml:space="preserve">غياث الدين أبو الفتح كيخسرو بن أبي المجد محمد بن أحمد البرهاني القزويني</w:t>
      </w:r>
    </w:p>
    <w:p/>
    <w:p>
      <w:pPr/>
      <w:r>
        <w:rPr/>
        <w:t xml:space="preserve">من بيت الرياسة بقزوين وسكن أهله تبريز وغياث الدين المذكور هو عمدتهم وعميدهم وبيت قصيدهم جميل الصورة حسن السيرة اتصل إلى المخدوم خواجة أصيل الدين الحسن ابن مولانا نصير الدين وصاهره على ابنته وولي الولايات الجليلة السلطانية.</w:t>
      </w:r>
    </w:p>
    <w:p>
      <w:pPr>
        <w:jc w:val="start"/>
        <w:bidi/>
      </w:pPr>
      <w:r>
        <w:rPr>
          <w:sz w:val="24"/>
          <w:szCs w:val="24"/>
          <w:b w:val="1"/>
          <w:bCs w:val="1"/>
          <w:rtl/>
        </w:rPr>
        <w:t xml:space="preserve">
أعيان الشيعة،(دار التعارف للمطبوعات - بيروت،1983،ط 1،ج 9،ص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2026-07-27T13:45:18+03:00</dcterms:created>
  <dcterms:modified xsi:type="dcterms:W3CDTF">2026-07-27T13:45:18+03:00</dcterms:modified>
</cp:coreProperties>
</file>

<file path=docProps/custom.xml><?xml version="1.0" encoding="utf-8"?>
<Properties xmlns="http://schemas.openxmlformats.org/officeDocument/2006/custom-properties" xmlns:vt="http://schemas.openxmlformats.org/officeDocument/2006/docPropsVTypes"/>
</file>