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محمد باقر بن الغازي القزويني
</w:t>
      </w:r>
    </w:p>
    <w:p>
      <w:pPr>
        <w:jc w:val="start"/>
        <w:bidi/>
      </w:pPr>
      <w:r>
        <w:rPr>
          <w:rFonts w:ascii="arial" w:hAnsi="arial" w:eastAsia="arial" w:cs="arial"/>
          <w:sz w:val="28"/>
          <w:szCs w:val="28"/>
          <w:b w:val="1"/>
          <w:bCs w:val="1"/>
          <w:rtl/>
        </w:rPr>
        <w:t xml:space="preserve">الشيخ محمد باقر بن الغازي القزويني
</w:t>
      </w:r>
    </w:p>
    <w:p>
      <w:pPr/>
      <w:r>
        <w:rPr/>
        <w:t xml:space="preserve">الشيخ محمد باقر بن الغازي القزويني أخو ملا خليل القزويني</w:t>
      </w:r>
    </w:p>
    <w:p/>
    <w:p>
      <w:pPr/>
      <w:r>
        <w:rPr/>
        <w:t xml:space="preserve">عالم فاضل متكلم جليل كان مدرسا في المدرسة التفاتية بقزوين ويؤم في مسجد محلته له حاشية على حاشية عدة أخيه ورسالة في الجمعة والفهرست الذي هو منتخب كتاب العقل والتوحيد والحجة والمعيشة.</w:t>
      </w:r>
    </w:p>
    <w:p>
      <w:pPr>
        <w:jc w:val="start"/>
        <w:bidi/>
      </w:pPr>
      <w:r>
        <w:rPr>
          <w:sz w:val="24"/>
          <w:szCs w:val="24"/>
          <w:b w:val="1"/>
          <w:bCs w:val="1"/>
          <w:rtl/>
        </w:rPr>
        <w:t xml:space="preserve">
أعيان الشيعة،(دار التعارف للمطبوعات - بيروت،1983،ط 1،ج 9،ص 187)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2026-07-27T13:48:48+03:00</dcterms:created>
  <dcterms:modified xsi:type="dcterms:W3CDTF">2026-07-27T13:48:48+03:00</dcterms:modified>
</cp:coreProperties>
</file>

<file path=docProps/custom.xml><?xml version="1.0" encoding="utf-8"?>
<Properties xmlns="http://schemas.openxmlformats.org/officeDocument/2006/custom-properties" xmlns:vt="http://schemas.openxmlformats.org/officeDocument/2006/docPropsVTypes"/>
</file>