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حسين بن علي 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حسين بن علي الطالقاني
</w:t>
      </w:r>
    </w:p>
    <w:p>
      <w:pPr/>
      <w:r>
        <w:rPr/>
        <w:t xml:space="preserve">الشيخ محمد حسين بن علي الطالقاني القزويني الحائري</w:t>
      </w:r>
    </w:p>
    <w:p/>
    <w:p>
      <w:pPr/>
      <w:r>
        <w:rPr/>
        <w:t xml:space="preserve">توفي بكربلا 4 محرم سنة 1281 ودفن بمقبرة ركن الدولة.</w:t>
      </w:r>
    </w:p>
    <w:p/>
    <w:p>
      <w:pPr/>
      <w:r>
        <w:rPr/>
        <w:t xml:space="preserve">كان مشهورا بالاجتهاد والفضل والسداد وله يد طولى في الوعظ وكان تلميذ صاحب الجواهر والسيد إبراهيم القزويني والشيخ مرتضى الأنصاري. له: نتائج البدائع في شرح الشرائع ورسائل في المنطق وبدائع الأصول في حجية الظن والاستصحاب والاجتهاد والتقليد.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2026-07-27T10:24:09+03:00</dcterms:created>
  <dcterms:modified xsi:type="dcterms:W3CDTF">2026-07-27T10:24:09+03:00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