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الساروي الغروي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الساروي الغروي المشهور
</w:t>
      </w:r>
    </w:p>
    <w:p>
      <w:pPr/>
      <w:r>
        <w:rPr/>
        <w:t xml:space="preserve">السيد محمد الساروي الغروي المشهور بثقة الإسلام الموسوي نسبا</w:t>
      </w:r>
    </w:p>
    <w:p/>
    <w:p>
      <w:pPr/>
      <w:r>
        <w:rPr/>
        <w:t xml:space="preserve">توفي سنة 1342.</w:t>
      </w:r>
    </w:p>
    <w:p/>
    <w:p>
      <w:pPr/>
      <w:r>
        <w:rPr/>
        <w:t xml:space="preserve">له كتاب أنوار الأحكام في الفقه وأنوار الأصول في علم الأصول وله كتاب في ترإجم أسرته يروي عنه بالإجازة السيد شهاب الدين الحسيني النجفي عن شيخه الميرزا الرشتي.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2026-07-27T13:48:08+03:00</dcterms:created>
  <dcterms:modified xsi:type="dcterms:W3CDTF">2026-07-27T13:48:08+03:00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