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عبه الواحد البغدادى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عبه الواحد البغدادى
</w:t>
      </w:r>
    </w:p>
    <w:p>
      <w:pPr/>
      <w:r>
        <w:rPr/>
        <w:t xml:space="preserve">محمد بن عبه الواحد البغدادى قال: </w:t>
      </w:r>
    </w:p>
    <w:p/>
    <w:p>
      <w:pPr>
        <w:jc w:val="center"/>
      </w:pPr>
      <w:r>
        <w:rPr>
          <w:color w:val="ff0000"/>
        </w:rPr>
        <w:t xml:space="preserve">أنبت وردا ناضرا ناظري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وجنة كالقمر الطالع</w:t>
      </w:r>
    </w:p>
    <w:p/>
    <w:p>
      <w:pPr>
        <w:jc w:val="center"/>
      </w:pPr>
      <w:r>
        <w:rPr>
          <w:color w:val="ff0000"/>
        </w:rPr>
        <w:t xml:space="preserve">فلم منعتم شفتي لثمه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والحق أن الزرع للزارع </w:t>
      </w:r>
    </w:p>
    <w:p/>
    <w:p>
      <w:pPr/>
      <w:r>
        <w:rPr/>
        <w:t xml:space="preserve">وجوابه للشيخ حسن ابن الشيخ زين الدين الشهيد الثاني: </w:t>
      </w:r>
    </w:p>
    <w:p/>
    <w:p>
      <w:pPr>
        <w:jc w:val="center"/>
      </w:pPr>
      <w:r>
        <w:rPr>
          <w:color w:val="ff0000"/>
        </w:rPr>
        <w:t xml:space="preserve">لأن أهل الحب بأعوا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نفوسهم والفخر للبايع</w:t>
      </w:r>
    </w:p>
    <w:p/>
    <w:p>
      <w:pPr>
        <w:jc w:val="center"/>
      </w:pPr>
      <w:r>
        <w:rPr>
          <w:color w:val="ff0000"/>
        </w:rPr>
        <w:t xml:space="preserve">والعبد محجور عليه وما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نرى لحكم الحجر من رافع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2026-07-27T12:16:53+03:00</dcterms:created>
  <dcterms:modified xsi:type="dcterms:W3CDTF">2026-07-27T12:16:53+03:00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