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علي بن كاظم بن جعفر
</w:t>
      </w:r>
    </w:p>
    <w:p>
      <w:pPr>
        <w:jc w:val="start"/>
        <w:bidi/>
      </w:pPr>
      <w:r>
        <w:rPr>
          <w:rFonts w:ascii="arial" w:hAnsi="arial" w:eastAsia="arial" w:cs="arial"/>
          <w:sz w:val="28"/>
          <w:szCs w:val="28"/>
          <w:b w:val="1"/>
          <w:bCs w:val="1"/>
          <w:rtl/>
        </w:rPr>
        <w:t xml:space="preserve">الشيخ محمد بن علي بن كاظم بن جعفر
</w:t>
      </w:r>
    </w:p>
    <w:p>
      <w:pPr/>
      <w:r>
        <w:rPr/>
        <w:t xml:space="preserve">الشيخ محمد بن علي بن كاظم بن جعفر الشيخ محمد ابن الشيخ علي بن كاظم بن جعفر ابن حسين بن محمد ابن الشيخ أحمد صاحب آيات الأحكام ابن الشيخ إسماعيل ابن الشيخ عبد النبي ابن سعد الجزائري النجفي</w:t>
      </w:r>
    </w:p>
    <w:p/>
    <w:p>
      <w:pPr/>
      <w:r>
        <w:rPr/>
        <w:t xml:space="preserve">توفي في رجب سنة 1303.</w:t>
      </w:r>
    </w:p>
    <w:p/>
    <w:p>
      <w:pPr/>
      <w:r>
        <w:rPr/>
        <w:t xml:space="preserve">كان عالما فاضلا شاعرا مجيدا ظريفا أخذ عن السيد مهدي القزويني والأخوند ملا لطف الله المازندراني والشيخ محمد حسين الكاظمي وغيرهم. ألف شرح كتاب الفرائض لأستاذه القزويني وكتابا في النحو ورسالة في وصف الرياض والأغصان والزهور والغدران وما له وللعرب فيها من الأشعار والأمثال، وكتابا في النحو. وآل الجزائري بيت علم وفضل في العراق:</w:t>
      </w:r>
    </w:p>
    <w:p/>
    <w:p>
      <w:pPr/>
      <w:r>
        <w:rPr/>
        <w:t xml:space="preserve">ومن شعره قوله:</w:t>
      </w:r>
    </w:p>
    <w:p/>
    <w:p>
      <w:pPr>
        <w:jc w:val="center"/>
      </w:pPr>
      <w:r>
        <w:rPr>
          <w:color w:val="ff0000"/>
        </w:rPr>
        <w:t xml:space="preserve">صل الأوتار بالنغم الفصيح</w:t>
      </w:r>
      <w:r>
        <w:rPr>
          <w:color w:val="ff0000"/>
        </w:rPr>
        <w:t xml:space="preserve">      </w:t>
      </w:r>
      <w:r>
        <w:rPr>
          <w:color w:val="ff0000"/>
        </w:rPr>
        <w:t xml:space="preserve">وعاط الراح مثل دم الذبيح</w:t>
      </w:r>
    </w:p>
    <w:p/>
    <w:p>
      <w:pPr/>
      <w:r>
        <w:rPr/>
        <w:t xml:space="preserve">وقوله:</w:t>
      </w:r>
    </w:p>
    <w:p/>
    <w:p>
      <w:pPr>
        <w:jc w:val="center"/>
      </w:pPr>
      <w:r>
        <w:rPr>
          <w:color w:val="ff0000"/>
        </w:rPr>
        <w:t xml:space="preserve">أهذا الصبح آذن بانبلاج</w:t>
      </w:r>
      <w:r>
        <w:rPr>
          <w:color w:val="ff0000"/>
        </w:rPr>
        <w:t xml:space="preserve">      </w:t>
      </w:r>
      <w:r>
        <w:rPr>
          <w:color w:val="ff0000"/>
        </w:rPr>
        <w:t xml:space="preserve">أم الصهباء تشرق في الزجاج</w:t>
      </w:r>
    </w:p>
    <w:p/>
    <w:p>
      <w:pPr>
        <w:jc w:val="start"/>
        <w:bidi/>
      </w:pPr>
      <w:r>
        <w:rPr>
          <w:sz w:val="24"/>
          <w:szCs w:val="24"/>
          <w:b w:val="1"/>
          <w:bCs w:val="1"/>
          <w:rtl/>
        </w:rPr>
        <w:t xml:space="preserve">
أعيان الشيعة،(دار التعارف للمطبوعات - بيروت،1983،ط 1،ج 9،ص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2026-07-27T13:45:19+03:00</dcterms:created>
  <dcterms:modified xsi:type="dcterms:W3CDTF">2026-07-27T13:45:19+03:00</dcterms:modified>
</cp:coreProperties>
</file>

<file path=docProps/custom.xml><?xml version="1.0" encoding="utf-8"?>
<Properties xmlns="http://schemas.openxmlformats.org/officeDocument/2006/custom-properties" xmlns:vt="http://schemas.openxmlformats.org/officeDocument/2006/docPropsVTypes"/>
</file>