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مهدي بن إسماعيل الموسوي الهروي
</w:t>
      </w:r>
    </w:p>
    <w:p>
      <w:pPr>
        <w:jc w:val="start"/>
        <w:bidi/>
      </w:pPr>
      <w:r>
        <w:rPr>
          <w:rFonts w:ascii="arial" w:hAnsi="arial" w:eastAsia="arial" w:cs="arial"/>
          <w:sz w:val="28"/>
          <w:szCs w:val="28"/>
          <w:b w:val="1"/>
          <w:bCs w:val="1"/>
          <w:rtl/>
        </w:rPr>
        <w:t xml:space="preserve">السيد مهدي بن إسماعيل الموسوي الهروي
</w:t>
      </w:r>
    </w:p>
    <w:p>
      <w:pPr/>
      <w:r>
        <w:rPr/>
        <w:t xml:space="preserve">السيد مهدي بن إسماعيل الموسوي الهروي توفي سنة 1270.</w:t>
      </w:r>
    </w:p>
    <w:p/>
    <w:p>
      <w:pPr/>
      <w:r>
        <w:rPr/>
        <w:t xml:space="preserve">الفقيه المتكلم تلميذ صاحب الجواهر له تآليف كثيرة منها شرح كبير على نجاة العباد لأستاذه المذكور وقد ذكره وأثنى عليه المعاصر الحاج الشيخ محمد باقر البير جندي صاحب الكبريت الأحمر في إجازته الكبيرة للسيد شهاب الدين النجفي الحسيني النسابة التبريزي نزيل قم وقد سماها الإجازة الوجيزة للدرة الفاخرة العزيزة.</w:t>
      </w:r>
    </w:p>
    <w:p>
      <w:pPr>
        <w:jc w:val="start"/>
        <w:bidi/>
      </w:pPr>
      <w:r>
        <w:rPr>
          <w:sz w:val="24"/>
          <w:szCs w:val="24"/>
          <w:b w:val="1"/>
          <w:bCs w:val="1"/>
          <w:rtl/>
        </w:rPr>
        <w:t xml:space="preserve">
أعيان الشيعة،(دار التعارف للمطبوعات - بيروت،1983،ط 1،ج 10،ص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2026-07-27T12:55:40+03:00</dcterms:created>
  <dcterms:modified xsi:type="dcterms:W3CDTF">2026-07-27T12:55:40+03:00</dcterms:modified>
</cp:coreProperties>
</file>

<file path=docProps/custom.xml><?xml version="1.0" encoding="utf-8"?>
<Properties xmlns="http://schemas.openxmlformats.org/officeDocument/2006/custom-properties" xmlns:vt="http://schemas.openxmlformats.org/officeDocument/2006/docPropsVTypes"/>
</file>