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حميدة الجزائرلي
</w:t>
      </w:r>
    </w:p>
    <w:p>
      <w:pPr>
        <w:jc w:val="start"/>
        <w:bidi/>
      </w:pPr>
      <w:r>
        <w:rPr>
          <w:rFonts w:ascii="arial" w:hAnsi="arial" w:eastAsia="arial" w:cs="arial"/>
          <w:sz w:val="28"/>
          <w:szCs w:val="28"/>
          <w:b w:val="1"/>
          <w:bCs w:val="1"/>
          <w:rtl/>
        </w:rPr>
        <w:t xml:space="preserve">حميدة الجزائرلي
</w:t>
      </w:r>
    </w:p>
    <w:p>
      <w:pPr/>
      <w:r>
        <w:rPr/>
        <w:t xml:space="preserve">حميدة الجزائرلي  حميدة بن الطيب بن علال الجزائرلي: فاضل، من أهل الجزائر، واليها نسبته (بزيادة اللام على الطريقة التركية) ولد في بلدة عين بسام التابعة لقسنطينة، وتعلم في زاوية (الهامل) وآذاه الاستعمار الفرنسي، واستقر في المدينة المنورة وتوفي بها. كان غزير الحفظ قوي الذاكرة. له نظم وتآليف، منها (الآثار في بلدة المختار - خ) في الأماكن الأثرية بالمدينة، و (آراء، في أحوال أهالي طيبة ودمشق الفيحاء - خ) رحلة إلى دمشق في خلال الحرب العالمية الأولى، و (الثمر الداني - خ) في العقيدة السلفية. وكان مالكيا، وفيه ميل إلى مذهب أهل الحديث. وجمع مكتبة آلت مع مؤلفاته إلى ولده محمد حميدة في المدينة. </w:t>
      </w:r>
    </w:p>
    <w:p>
      <w:pPr>
        <w:jc w:val="start"/>
        <w:bidi/>
      </w:pPr>
      <w:r>
        <w:rPr>
          <w:sz w:val="24"/>
          <w:szCs w:val="24"/>
          <w:b w:val="1"/>
          <w:bCs w:val="1"/>
          <w:rtl/>
        </w:rPr>
        <w:t xml:space="preserve">
الأعلام،(دار العلم للملايين - بيروت،2002،ط 15،ج 2،ص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2026-07-27T12:30:30+03:00</dcterms:created>
  <dcterms:modified xsi:type="dcterms:W3CDTF">2026-07-27T12:30:30+03:00</dcterms:modified>
</cp:coreProperties>
</file>

<file path=docProps/custom.xml><?xml version="1.0" encoding="utf-8"?>
<Properties xmlns="http://schemas.openxmlformats.org/officeDocument/2006/custom-properties" xmlns:vt="http://schemas.openxmlformats.org/officeDocument/2006/docPropsVTypes"/>
</file>