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المهوش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المهوش
</w:t>
      </w:r>
    </w:p>
    <w:p>
      <w:pPr/>
      <w:r>
        <w:rPr/>
        <w:t xml:space="preserve">أبو المهوش  حوط بن رئاب الأسدي، المشتهر بأبي المهوش: شاعر مخضرم. عاش واشتهر في الجاهلية. وأدرك الاسلام شعره قليل متفرق، منه قوله:</w:t>
      </w:r>
    </w:p>
    <w:p/>
    <w:p>
      <w:pPr>
        <w:jc w:val="center"/>
      </w:pPr>
      <w:r>
        <w:rPr>
          <w:color w:val="ff0000"/>
        </w:rPr>
        <w:t xml:space="preserve">يعيش الفتى، بالفقر يوما، وبالغنى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 وكل كأن لم يلق، حين يزايله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2026-07-27T09:04:46+03:00</dcterms:created>
  <dcterms:modified xsi:type="dcterms:W3CDTF">2026-07-27T09:04:46+03:00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