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ربيعة
</w:t>
      </w:r>
    </w:p>
    <w:p>
      <w:pPr>
        <w:jc w:val="start"/>
        <w:bidi/>
      </w:pPr>
      <w:r>
        <w:rPr>
          <w:rFonts w:ascii="arial" w:hAnsi="arial" w:eastAsia="arial" w:cs="arial"/>
          <w:sz w:val="28"/>
          <w:szCs w:val="28"/>
          <w:b w:val="1"/>
          <w:bCs w:val="1"/>
          <w:rtl/>
        </w:rPr>
        <w:t xml:space="preserve">ابن ربيعة
</w:t>
      </w:r>
    </w:p>
    <w:p>
      <w:pPr/>
      <w:r>
        <w:rPr/>
        <w:t xml:space="preserve">ابن ربيعة  خالد بن ربيعة الأفريقي: أول من عرف من الأدباء الكتاب المترسلين في إفريقية، من بيت عربي. رحل إلى الشام في خلافة هشام بن عبد الملك واتصلت بينه وبين عبد الحميد الكاتب ألفة ومودة، ويطن أنه دخل في سلك دوواين الإنشاء في دمشق. وعاد إلى إفريقية سنة 132هـ ، واتصل بالأمير عبد الرحمن بن حبيب الفهري فعهد إليه بتدبير شؤون إمارته في المغرب. له (رسائل) مجموعة في الأدب، نحو مئتي ورقة</w:t>
      </w:r>
    </w:p>
    <w:p>
      <w:pPr>
        <w:jc w:val="start"/>
        <w:bidi/>
      </w:pPr>
      <w:r>
        <w:rPr>
          <w:sz w:val="24"/>
          <w:szCs w:val="24"/>
          <w:b w:val="1"/>
          <w:bCs w:val="1"/>
          <w:rtl/>
        </w:rPr>
        <w:t xml:space="preserve">
الأعلام،(دار العلم للملايين - بيروت،2002،ط 15،ج 2،ص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2026-07-22T22:43:23+03:00</dcterms:created>
  <dcterms:modified xsi:type="dcterms:W3CDTF">2026-07-22T22:43:23+03:00</dcterms:modified>
</cp:coreProperties>
</file>

<file path=docProps/custom.xml><?xml version="1.0" encoding="utf-8"?>
<Properties xmlns="http://schemas.openxmlformats.org/officeDocument/2006/custom-properties" xmlns:vt="http://schemas.openxmlformats.org/officeDocument/2006/docPropsVTypes"/>
</file>