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ذكوان بن يامين
</w:t>
      </w:r>
    </w:p>
    <w:p>
      <w:pPr>
        <w:jc w:val="start"/>
        <w:bidi/>
      </w:pPr>
      <w:r>
        <w:rPr>
          <w:rFonts w:ascii="arial" w:hAnsi="arial" w:eastAsia="arial" w:cs="arial"/>
          <w:sz w:val="28"/>
          <w:szCs w:val="28"/>
          <w:b w:val="1"/>
          <w:bCs w:val="1"/>
          <w:rtl/>
        </w:rPr>
        <w:t xml:space="preserve">ذكوان بن يامين
</w:t>
      </w:r>
    </w:p>
    <w:p>
      <w:pPr/>
      <w:r>
        <w:rPr/>
        <w:t xml:space="preserve">ذكوان بن يامين ذكوان بن يامين بن عمير بن كعب النضيري، من بني النضير.</w:t>
      </w:r>
    </w:p>
    <w:p/>
    <w:p>
      <w:pPr/>
      <w:r>
        <w:rPr/>
        <w:t xml:space="preserve">قال ابن إسحاق: لقى ابن يامين بن عمير أبا ليلى وعبد الله بن مغفل المزني باكين، فقال: ما يبكيكما، فقالا: جئنا رسول الله صلى الله عليه وسلم نستحمله، فلم نجد عنده ما يحملنا عليه، وليس عندنا ما نقوى به على الخروج معه، وذلك في غزوة تبوك، فأعطاهما ناضحا وزودهما تمرا كثيرا.</w:t>
      </w:r>
    </w:p>
    <w:p/>
    <w:p>
      <w:pPr/>
      <w:r>
        <w:rPr/>
        <w:t xml:space="preserve">ذكره أبو علي، وقال: لا يعين على الجهاد إلا مسلم، إن شاء الله تعالى.</w:t>
      </w:r>
    </w:p>
    <w:p>
      <w:pPr>
        <w:jc w:val="start"/>
        <w:bidi/>
      </w:pPr>
      <w:r>
        <w:rPr>
          <w:sz w:val="24"/>
          <w:szCs w:val="24"/>
          <w:b w:val="1"/>
          <w:bCs w:val="1"/>
          <w:rtl/>
        </w:rPr>
        <w:t xml:space="preserve">
أسد الغابة في معرفة الصحابة،(دار ابن حزم - بيروت،2012،ط 1،ج 1،ص 363)/(دار الكتب العلمية - بيروت،1994،ط 1،ج 2،ص 211)/(دار الفكر - بيروت،1989،ط 1،ج 2،ص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ذكوان بن يامين بن عمير
</w:t>
      </w:r>
    </w:p>
    <w:p>
      <w:pPr/>
      <w:r>
        <w:rPr/>
        <w:t xml:space="preserve">ذكوان بن يامين بن عمير بن كعب من بني النضير.</w:t>
      </w:r>
    </w:p>
    <w:p/>
    <w:p>
      <w:pPr/>
      <w:r>
        <w:rPr/>
        <w:t xml:space="preserve">كان يهوديا فقيل: إنه أسلم. استدركه أبو علي الجياني على أبي عمر، فأورد من طريق ابن إسحاق أن ذكوان لقي أبا ليلى وعبد الله بن مغفل باكيين، فقال: ما يبكيكما، قالا: جئنا نستحمل النبي صلى الله عليه وآله وسلم فلم نجد عنده ما يحملنا. قال: فأعطاهما ناضجا وزودهما، وذلك في غزوة تبوك.</w:t>
      </w:r>
    </w:p>
    <w:p/>
    <w:p>
      <w:pPr/>
      <w:r>
        <w:rPr/>
        <w:t xml:space="preserve">قال الجياتي: هذا يدل على أنه أسلم، ولا يعين على الجهاد إلا مسلم.</w:t>
      </w:r>
    </w:p>
    <w:p/>
    <w:p>
      <w:pPr/>
      <w:r>
        <w:rPr/>
        <w:t xml:space="preserve">قلت: لا يتعين ذلك، لاحتمال أن يكون أعان عدوة على عدوه.</w:t>
      </w:r>
    </w:p>
    <w:p>
      <w:pPr>
        <w:jc w:val="start"/>
        <w:bidi/>
      </w:pPr>
      <w:r>
        <w:rPr>
          <w:sz w:val="24"/>
          <w:szCs w:val="24"/>
          <w:b w:val="1"/>
          <w:bCs w:val="1"/>
          <w:rtl/>
        </w:rPr>
        <w:t xml:space="preserve">
الإصابة في تمييز الصحابة،(دار الكتب العلمية - بيروت،1995،ط 1،ج 2،ص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2026-07-27T09:34:00+03:00</dcterms:created>
  <dcterms:modified xsi:type="dcterms:W3CDTF">2026-07-27T09:34:00+03:00</dcterms:modified>
</cp:coreProperties>
</file>

<file path=docProps/custom.xml><?xml version="1.0" encoding="utf-8"?>
<Properties xmlns="http://schemas.openxmlformats.org/officeDocument/2006/custom-properties" xmlns:vt="http://schemas.openxmlformats.org/officeDocument/2006/docPropsVTypes"/>
</file>