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بن عمارة البكري
</w:t>
      </w:r>
    </w:p>
    <w:p>
      <w:pPr>
        <w:jc w:val="start"/>
        <w:bidi/>
      </w:pPr>
      <w:r>
        <w:rPr>
          <w:rFonts w:ascii="arial" w:hAnsi="arial" w:eastAsia="arial" w:cs="arial"/>
          <w:sz w:val="28"/>
          <w:szCs w:val="28"/>
          <w:b w:val="1"/>
          <w:bCs w:val="1"/>
          <w:rtl/>
        </w:rPr>
        <w:t xml:space="preserve">سعد بن عمارة البكري
</w:t>
      </w:r>
    </w:p>
    <w:p>
      <w:pPr/>
      <w:r>
        <w:rPr/>
        <w:t xml:space="preserve">سعد بن عمارة البكري (د ع) سعد بن عمارة. أحد بني سعد بن بكر ذكره البخاري في الصحابة، وروى عن عمرو ابن محمد عن يعقوب بن إبراهيم، عن ابن إسحاق، عن عبد الله بن أبي بكر، ويحيى بن سعيد الأنصاري، حدثنا عن سعد بن عمارة، أحد بني سعد بن بكر، وكانت له صحبة، أن رجلا قال له: عظني رحمك الله، قال: إذا أنت قمت إلى الصلاة فأسبغ الوضوء فإنه لا صلاة لمن لا وضوء له، ولا إيمان لمن لا صلاة له، واترك طلب كثير من الحاجات، فإنه فقر حاضر، واجمع اليأس مما في أيدي الناس، فإنه هو الغنى، وانظر ما يعتذر منه من القول والفعل، فاجتنبه.</w:t>
      </w:r>
    </w:p>
    <w:p/>
    <w:p>
      <w:pPr/>
      <w:r>
        <w:rPr/>
        <w:t xml:space="preserve">وروى عن سلمان بن حبيب أن سعد بن عمارة لما حضرته الوفاة، جمع بنيه وأوصاهم.</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471)/(دار الكتب العلمية - بيروت،1994،ط 1،ج 2،ص 448)/(دار الفكر - بيروت،1989،ط 1،ج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2026-07-27T13:42:43+03:00</dcterms:created>
  <dcterms:modified xsi:type="dcterms:W3CDTF">2026-07-27T13:42:43+03:00</dcterms:modified>
</cp:coreProperties>
</file>

<file path=docProps/custom.xml><?xml version="1.0" encoding="utf-8"?>
<Properties xmlns="http://schemas.openxmlformats.org/officeDocument/2006/custom-properties" xmlns:vt="http://schemas.openxmlformats.org/officeDocument/2006/docPropsVTypes"/>
</file>