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كديم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كديم
</w:t>
      </w:r>
    </w:p>
    <w:p>
      <w:pPr/>
      <w:r>
        <w:rPr/>
        <w:t xml:space="preserve">عقبة بن كديم (د ع) عقبة بن كديم بن عدي بن حارثة بن زيد مناة بن عدي بن عمرو بن مالك بن النجار.</w:t>
      </w:r>
    </w:p>
    <w:p/>
    <w:p>
      <w:pPr/>
      <w:r>
        <w:rPr/>
        <w:t xml:space="preserve">له صحبة. شهد فتح مصر، وله بمصر عقب، ولا نعرف له رواية.</w:t>
      </w:r>
    </w:p>
    <w:p/>
    <w:p>
      <w:pPr/>
      <w:r>
        <w:rPr/>
        <w:t xml:space="preserve">ذكره ابن يونس.</w:t>
      </w:r>
    </w:p>
    <w:p/>
    <w:p>
      <w:pPr/>
      <w:r>
        <w:rPr/>
        <w:t xml:space="preserve">وقال العدوي: عقبة بن كديم بن عمرو بن حارثة بن عدي بن عمرو. شهد أحدا وما بعدها من المشاهد.</w:t>
      </w:r>
    </w:p>
    <w:p/>
    <w:p>
      <w:pPr/>
      <w:r>
        <w:rPr/>
        <w:t xml:space="preserve">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857)/(دار الكتب العلمية - بيروت،1994،ط 1،ج 4،ص 56)/(دار الفكر - بيروت،1989،ط 1،ج 3،ص 555)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كديم
</w:t>
      </w:r>
    </w:p>
    <w:p>
      <w:pPr/>
      <w:r>
        <w:rPr/>
        <w:t xml:space="preserve">عقبة بن كديم بن عدي بن حارثة بن عمرو بن زيد مناة بن عدي بن عمرو بن مالك بن النجار الأنصاري الخزرجي.</w:t>
      </w:r>
    </w:p>
    <w:p/>
    <w:p>
      <w:pPr/>
      <w:r>
        <w:rPr/>
        <w:t xml:space="preserve">شهد أحدا وما بعدها، ذكره العدوي في الأنساب. وقال ابن يونس: شهد فتح مصر وعقبه بها، وله صحبة، ولا يعرف له رواية.</w:t>
      </w:r>
    </w:p>
    <w:p/>
    <w:p>
      <w:pPr/>
      <w:r>
        <w:rPr/>
        <w:t xml:space="preserve">وعده الواقدي في المنافقين، وكان ذلك في أول أمره ثم تاب.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2026-07-27T10:53:52+03:00</dcterms:created>
  <dcterms:modified xsi:type="dcterms:W3CDTF">2026-07-27T10:53:52+03:00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