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نضلة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نضلة
</w:t>
      </w:r>
    </w:p>
    <w:p>
      <w:pPr/>
      <w:r>
        <w:rPr/>
        <w:t xml:space="preserve">عمرو بن نضلة (د ع) عمرو بن نضلة مختلف في اسمه.</w:t>
      </w:r>
    </w:p>
    <w:p/>
    <w:p>
      <w:pPr/>
      <w:r>
        <w:rPr/>
        <w:t xml:space="preserve">روى معاذ بن رفاعة، عن أبي عبيد الحاجب، عن عمرو بن نضلة- والصحيح رواية الأوزاعي، عن أبي عبيد حاجب سليمان بن عبد الملك، عن عبيد بن نضلة. </w:t>
      </w:r>
    </w:p>
    <w:p/>
    <w:p>
      <w:pPr/>
      <w:r>
        <w:rPr/>
        <w:t xml:space="preserve">أخرجه ابن مندة،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956)/(دار الكتب العلمية - بيروت،1994،ط 1،ج 4،ص 264)/(دار الفكر - بيروت،1989،ط 1،ج 3،ص 773)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2026-07-27T07:09:58+03:00</dcterms:created>
  <dcterms:modified xsi:type="dcterms:W3CDTF">2026-07-27T07:09:58+03:00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