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صعصعة بن 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صعصعة بن وهب
</w:t>
      </w:r>
    </w:p>
    <w:p>
      <w:pPr/>
      <w:r>
        <w:rPr/>
        <w:t xml:space="preserve">قيس بن صعصعة بن وهب قيس بن صعصعة بن وهب بن عدي بن مالك بن عدي بن عامر بن غنم بن عدى ابن النجار الأنصاري.</w:t>
      </w:r>
    </w:p>
    <w:p/>
    <w:p>
      <w:pPr/>
      <w:r>
        <w:rPr/>
        <w:t xml:space="preserve">شهد أحدا، قاله العدوي، وجعله أخا مالك بن صعصعة.</w:t>
      </w:r>
    </w:p>
    <w:p/>
    <w:p>
      <w:pPr/>
      <w:r>
        <w:rPr/>
        <w:t xml:space="preserve">ذكره ابن الدباغ.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1019)/(دار الكتب العلمية - بيروت،1994،ط 1،ج 4،ص 409)/(دار الفكر - بيروت،1989،ط 1،ج 4،ص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2026-07-27T12:18:20+03:00</dcterms:created>
  <dcterms:modified xsi:type="dcterms:W3CDTF">2026-07-27T12:18:20+03:00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