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سودة
</w:t>
      </w:r>
    </w:p>
    <w:p>
      <w:pPr/>
      <w:r>
        <w:rPr/>
        <w:t xml:space="preserve">فاطمة بنت سودة فاطمة بنت سودة بن أبي ضبيس الجهنية.</w:t>
      </w:r>
    </w:p>
    <w:p/>
    <w:p>
      <w:pPr/>
      <w:r>
        <w:rPr/>
        <w:t xml:space="preserve">بايعت رسول الله صلى الله عليه وسلم بعد الهجرة.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1566)/(دار الكتب العلمية - بيروت،1994،ط 1،ج 7،ص 221)/(دار الفكر - بيروت،1989،ط 1،ج 6،ص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سودة
</w:t>
      </w:r>
    </w:p>
    <w:p>
      <w:pPr/>
      <w:r>
        <w:rPr/>
        <w:t xml:space="preserve">فاطمة بنت سودة بن أبي ضبيس - بضاد معجمة وموحدة ثم مهملة مصغر، الجهنية.</w:t>
      </w:r>
    </w:p>
    <w:p/>
    <w:p>
      <w:pPr/>
      <w:r>
        <w:rPr/>
        <w:t xml:space="preserve">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2026-07-27T09:04:56+03:00</dcterms:created>
  <dcterms:modified xsi:type="dcterms:W3CDTF">2026-07-27T09:04:56+03:00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