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w:t>
      </w:r>
    </w:p>
    <w:p>
      <w:pPr>
        <w:jc w:val="start"/>
        <w:bidi/>
      </w:pPr>
      <w:r>
        <w:rPr>
          <w:rFonts w:ascii="arial" w:hAnsi="arial" w:eastAsia="arial" w:cs="arial"/>
          <w:sz w:val="28"/>
          <w:szCs w:val="28"/>
          <w:b w:val="1"/>
          <w:bCs w:val="1"/>
          <w:rtl/>
        </w:rPr>
        <w:t xml:space="preserve">حمزة
</w:t>
      </w:r>
    </w:p>
    <w:p>
      <w:pPr/>
      <w:r>
        <w:rPr/>
        <w:t xml:space="preserve">حمزة بن أبي أسيد بفتح الهمزة. ذكره الإسماعيلي في الصحابة وضبط والده. ذكر ذلك الخطيب في المؤتلف في ترجمة الرشيدي، وساق من طريق علي بن معبد، عن محمد بن سلمة، عن محمد بن إسحاق، عن الزهري، عن محمد بن خالد الأنصاري، عن حمزة بن أبي أسيد، قال: خرج رسول الله صلى الله عليه وسلم إلى جنازة بالبقيع فإذا ذئب مفترش ذراعيه بالطريق... فذكر الحديث قال الخطيب: ينبغي أن يكون هو حمزة بن أبي أسيد الأنصاري، فأبوه بضم الهمزة.</w:t>
      </w:r>
    </w:p>
    <w:p/>
    <w:p>
      <w:pPr/>
      <w:r>
        <w:rPr/>
        <w:t xml:space="preserve">قلت: وقد تقدم في القسم الثاني.</w:t>
      </w:r>
    </w:p>
    <w:p>
      <w:pPr>
        <w:jc w:val="start"/>
        <w:bidi/>
      </w:pPr>
      <w:r>
        <w:rPr>
          <w:sz w:val="24"/>
          <w:szCs w:val="24"/>
          <w:b w:val="1"/>
          <w:bCs w:val="1"/>
          <w:rtl/>
        </w:rPr>
        <w:t xml:space="preserve">
الإصابة في تمييز الصحابة،(دار الكتب العلمية - بيروت،1995،ط 1،ج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2026-07-26T08:39:25+03:00</dcterms:created>
  <dcterms:modified xsi:type="dcterms:W3CDTF">2026-07-26T08:39:25+03:00</dcterms:modified>
</cp:coreProperties>
</file>

<file path=docProps/custom.xml><?xml version="1.0" encoding="utf-8"?>
<Properties xmlns="http://schemas.openxmlformats.org/officeDocument/2006/custom-properties" xmlns:vt="http://schemas.openxmlformats.org/officeDocument/2006/docPropsVTypes"/>
</file>