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الأذرعي
</w:t>
      </w:r>
    </w:p>
    <w:p>
      <w:pPr>
        <w:jc w:val="start"/>
        <w:bidi/>
      </w:pPr>
      <w:r>
        <w:rPr>
          <w:rFonts w:ascii="arial" w:hAnsi="arial" w:eastAsia="arial" w:cs="arial"/>
          <w:sz w:val="28"/>
          <w:szCs w:val="28"/>
          <w:b w:val="1"/>
          <w:bCs w:val="1"/>
          <w:rtl/>
        </w:rPr>
        <w:t xml:space="preserve">الأذرعي
</w:t>
      </w:r>
    </w:p>
    <w:p>
      <w:pPr/>
      <w:r>
        <w:rPr/>
        <w:t xml:space="preserve">الأذرعي  سليمان بن وهيب بن عطاء، أبو الربيع ابن أبي العز، صدر الدين الأذرعي: شيخ الحنفية في زمانه وعالمهم. من أهل أذرعات (بقرب دمشق) أقام في دمشق يدرس ويفتي، وانتقل إلى القاهرة، فولي قضاء القضاة في أيام الملك الظاهر بيبرس. وحج معه. وكان يحبه ويعظمه ولا يفارقه في غزواته. ثم استعفاه من القضاء بالقاهرة، وعاد إلى دمشق. فدرس بالظاهرية. وولي القضاء قبيل وفاته، فباشره مدة ثلاثة أشهر. ومات بدمشق. له تصانيف، منها (الوجيز الجامع لمسائل الجامع - خ) فقه، في شستربتي (3367). </w:t>
      </w:r>
    </w:p>
    <w:p>
      <w:pPr>
        <w:jc w:val="start"/>
        <w:bidi/>
      </w:pPr>
      <w:r>
        <w:rPr>
          <w:sz w:val="24"/>
          <w:szCs w:val="24"/>
          <w:b w:val="1"/>
          <w:bCs w:val="1"/>
          <w:rtl/>
        </w:rPr>
        <w:t xml:space="preserve">
الأعلام،(دار العلم للملايين - بيروت،2002،ط 15،ج 3،ص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2026-07-27T14:02:44+03:00</dcterms:created>
  <dcterms:modified xsi:type="dcterms:W3CDTF">2026-07-27T14:02:44+03:00</dcterms:modified>
</cp:coreProperties>
</file>

<file path=docProps/custom.xml><?xml version="1.0" encoding="utf-8"?>
<Properties xmlns="http://schemas.openxmlformats.org/officeDocument/2006/custom-properties" xmlns:vt="http://schemas.openxmlformats.org/officeDocument/2006/docPropsVTypes"/>
</file>