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صبيح، مولى أسيد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صبيح، مولى أسيد
</w:t>
      </w:r>
    </w:p>
    <w:p>
      <w:pPr/>
      <w:r>
        <w:rPr/>
        <w:t xml:space="preserve">صبيح، مولى أسيد ذكره يعقوب بن شيبة في مسندة من طريق ابن جريج، عن عكرمة في قوله تعالى: </w:t>
      </w:r>
    </w:p>
    <w:p>
      <w:pPr/>
      <w:r>
        <w:rPr>
          <w:color w:val="0000ff"/>
        </w:rPr>
        <w:t xml:space="preserve">{ولا تطرد الذين يدعون ربهم بالغداة والعشي...}</w:t>
      </w:r>
    </w:p>
    <w:p>
      <w:pPr/>
      <w:r>
        <w:rPr/>
        <w:t xml:space="preserve"> الآية. قال: منهم صبيح مولى أسيد، وهو عند سعد بن داود في تفسيره، عن حجاج، عن ابن جريج، وفيه: كانوا ثلاثة: عمار بن ياسر، وسالم مولى أبي حذيفة، وصبيح.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2026-07-27T08:12:38+03:00</dcterms:created>
  <dcterms:modified xsi:type="dcterms:W3CDTF">2026-07-27T08:12:38+03:00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