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طلحة بن ركانة
</w:t>
      </w:r>
    </w:p>
    <w:p>
      <w:pPr>
        <w:jc w:val="start"/>
        <w:bidi/>
      </w:pPr>
      <w:r>
        <w:rPr>
          <w:rFonts w:ascii="arial" w:hAnsi="arial" w:eastAsia="arial" w:cs="arial"/>
          <w:sz w:val="28"/>
          <w:szCs w:val="28"/>
          <w:b w:val="1"/>
          <w:bCs w:val="1"/>
          <w:rtl/>
        </w:rPr>
        <w:t xml:space="preserve">طلحة بن ركانة
</w:t>
      </w:r>
    </w:p>
    <w:p>
      <w:pPr/>
      <w:r>
        <w:rPr/>
        <w:t xml:space="preserve">طلحة بن ركانة بن عبد يزيد بن هاشم بن المطلب بن عبد مناف القرشي المطلبي.</w:t>
      </w:r>
    </w:p>
    <w:p/>
    <w:p>
      <w:pPr/>
      <w:r>
        <w:rPr/>
        <w:t xml:space="preserve">ذكره ابن عبد البر في «التمهيد» ولم يذكره في الاستيعاب.</w:t>
      </w:r>
    </w:p>
    <w:p/>
    <w:p>
      <w:pPr/>
      <w:r>
        <w:rPr/>
        <w:t xml:space="preserve">وقال مالك في الموطأ: عن سلمة بن صفوان، عن يزيد بن طلحة، عن النبي صلى الله عليه وسلم، قال: «لكل دين خلق، وخلق الإسلام الحياء».</w:t>
      </w:r>
    </w:p>
    <w:p/>
    <w:p>
      <w:pPr/>
      <w:r>
        <w:rPr/>
        <w:t xml:space="preserve">ورواه وكيع عن مالك، فقال: عن يزيد بن طلحة بن ركانة عن أبيه. قال ابن عبد البر: إن كان وكيع حفظه فالحديث مسند، وكان يحيى بن معين ينكر على وكيع قوله فيه عن أبيه، قال: وقد جاء مثل هذا المتن من حديث معاذ بن جبل.</w:t>
      </w:r>
    </w:p>
    <w:p/>
    <w:p>
      <w:pPr/>
      <w:r>
        <w:rPr/>
        <w:t xml:space="preserve">قلت: ورواية وكيع أخرجها الدارقطني في الغرائب، عن إسماعيل الصفار، عن ابن أبي خيثمة عن علي بن الحسن الصفار، عن وكيع. وأخرجه أيضا من طريق مسعدة بن السبع، عن مالك، عن سلمة بن صفوان، عن طلحة بن يزيد بن ركانة، عن أبي هريرة.</w:t>
      </w:r>
    </w:p>
    <w:p/>
    <w:p>
      <w:pPr/>
      <w:r>
        <w:rPr/>
        <w:t xml:space="preserve">وقال الدارقطني: وهم فيه مسعدة، وإنما هو يزيد بن طلحة بن ركانة، ووهم أيضا في قوله: عن أبي هريرة، وإنما هو مرسل، ثم ساقه من مسند أحمد بن سنان القطان، عن ابن مهدي، كما في الموطأ، وأخرجه من طريق محمد أحمد بن الأشعث، عن نصار بن حرب، عن ابن مهدي مثل ما قال وكيع.</w:t>
      </w:r>
    </w:p>
    <w:p/>
    <w:p>
      <w:pPr/>
      <w:r>
        <w:rPr/>
        <w:t xml:space="preserve">قال الدارقطني: وهم فيه هذا الشيخ. والصواب مرسل، ثم ذكر الاختلاف ابن أبي الأرقم على مالك، وذكر أبو عمر اختلافا فيه آخر، قال: رواه عيسى بن يونس، عن مالك، عن الزهري، عن أنس.</w:t>
      </w:r>
    </w:p>
    <w:p>
      <w:pPr>
        <w:jc w:val="start"/>
        <w:bidi/>
      </w:pPr>
      <w:r>
        <w:rPr>
          <w:sz w:val="24"/>
          <w:szCs w:val="24"/>
          <w:b w:val="1"/>
          <w:bCs w:val="1"/>
          <w:rtl/>
        </w:rPr>
        <w:t xml:space="preserve">
الإصابة في تمييز الصحابة،(دار الكتب العلمية - بيروت،1995،ط 1،ج 3،ص 428)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2026-07-27T11:30:12+03:00</dcterms:created>
  <dcterms:modified xsi:type="dcterms:W3CDTF">2026-07-27T11:30:12+03:00</dcterms:modified>
</cp:coreProperties>
</file>

<file path=docProps/custom.xml><?xml version="1.0" encoding="utf-8"?>
<Properties xmlns="http://schemas.openxmlformats.org/officeDocument/2006/custom-properties" xmlns:vt="http://schemas.openxmlformats.org/officeDocument/2006/docPropsVTypes"/>
</file>