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w:t>
      </w:r>
    </w:p>
    <w:p>
      <w:pPr>
        <w:jc w:val="start"/>
        <w:bidi/>
      </w:pPr>
      <w:r>
        <w:rPr>
          <w:rFonts w:ascii="arial" w:hAnsi="arial" w:eastAsia="arial" w:cs="arial"/>
          <w:sz w:val="28"/>
          <w:szCs w:val="28"/>
          <w:b w:val="1"/>
          <w:bCs w:val="1"/>
          <w:rtl/>
        </w:rPr>
        <w:t xml:space="preserve">التميمي
</w:t>
      </w:r>
    </w:p>
    <w:p>
      <w:pPr/>
      <w:r>
        <w:rPr/>
        <w:t xml:space="preserve">التميمي  صالح بن درويش بن زيني من بني تميم: شاعر مؤرخ نجدي الاصل. ولد في الكاظمية - قرب بغداد - ونشأ في النجف واتصل بالوزير (داود) والى بغداد، فنقله اليها، وجعله في جملة كتاب الديوان، فكان من شعرائه. وتوفي في بغداد، عن نحو سبيعن عاما. في شعره جزالة، وقد جمع في (ديوان - ط) وله كتب، منها (شرك العقول وغريب النقول) مجلدان، رتبه على السنين مبتدءا من سنة 1200 هـ ، وختمه سنة 1240 هـ ، ذكر فيه ايام الوزير داود باشا، وما جرى له من حروب. وله (وشاح الرود) في تراجم شعراء الوزير داود. </w:t>
      </w:r>
    </w:p>
    <w:p>
      <w:pPr>
        <w:jc w:val="start"/>
        <w:bidi/>
      </w:pPr>
      <w:r>
        <w:rPr>
          <w:sz w:val="24"/>
          <w:szCs w:val="24"/>
          <w:b w:val="1"/>
          <w:bCs w:val="1"/>
          <w:rtl/>
        </w:rPr>
        <w:t xml:space="preserve">
الأعلام،(دار العلم للملايين - بيروت،2002،ط 15،ج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2026-07-23T18:32:27+03:00</dcterms:created>
  <dcterms:modified xsi:type="dcterms:W3CDTF">2026-07-23T18:32:27+03:00</dcterms:modified>
</cp:coreProperties>
</file>

<file path=docProps/custom.xml><?xml version="1.0" encoding="utf-8"?>
<Properties xmlns="http://schemas.openxmlformats.org/officeDocument/2006/custom-properties" xmlns:vt="http://schemas.openxmlformats.org/officeDocument/2006/docPropsVTypes"/>
</file>