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
</w:t>
      </w:r>
    </w:p>
    <w:p>
      <w:pPr/>
      <w:r>
        <w:rPr/>
        <w:t xml:space="preserve">عمير والد قيس.</w:t>
      </w:r>
    </w:p>
    <w:p/>
    <w:p>
      <w:pPr/>
      <w:r>
        <w:rPr/>
        <w:t xml:space="preserve">قرأت بخط الذهبي في «التجريد»، أخرج له ابن قانع حديثا.</w:t>
      </w:r>
    </w:p>
    <w:p/>
    <w:p>
      <w:pPr/>
      <w:r>
        <w:rPr/>
        <w:t xml:space="preserve">قلت: لم أره في معجم ابن قانع، وإنما هو عمير السدوسي، وهو والد شقيق لا قيس، وصحابي الحديث هو عبد الله بن عمير. كما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2026-07-27T08:19:33+03:00</dcterms:created>
  <dcterms:modified xsi:type="dcterms:W3CDTF">2026-07-27T08:19:33+03:00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