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يزيد
</w:t>
      </w:r>
    </w:p>
    <w:p>
      <w:pPr>
        <w:jc w:val="start"/>
        <w:bidi/>
      </w:pPr>
      <w:r>
        <w:rPr>
          <w:rFonts w:ascii="arial" w:hAnsi="arial" w:eastAsia="arial" w:cs="arial"/>
          <w:sz w:val="28"/>
          <w:szCs w:val="28"/>
          <w:b w:val="1"/>
          <w:bCs w:val="1"/>
          <w:rtl/>
        </w:rPr>
        <w:t xml:space="preserve">عياض بن يزيد
</w:t>
      </w:r>
    </w:p>
    <w:p>
      <w:pPr/>
      <w:r>
        <w:rPr/>
        <w:t xml:space="preserve">عياض بن يزيد أو يزيد بن عياض.</w:t>
      </w:r>
    </w:p>
    <w:p/>
    <w:p>
      <w:pPr/>
      <w:r>
        <w:rPr/>
        <w:t xml:space="preserve">ذكره الطبراني بالشك، وأخرج من رواية أبي الطيالسي، عن شعبة، عن عاصم بن كليب، سمعت عياض بن مرثد أو مرثد بن عياض يحدث أن رجلا سأل النبي صلى الله عليه وسلم عن أمر يدخل به الجنة، فقال: «هل من والديك أحد حي»؟ قال: لا. قال: «اسق الماء....» الحديث.</w:t>
      </w:r>
    </w:p>
    <w:p/>
    <w:p>
      <w:pPr/>
      <w:r>
        <w:rPr/>
        <w:t xml:space="preserve">ورواه الحوضي عن شعبة، فزاد فيه بعد عياض، عن رجل منهم أنه سأل.</w:t>
      </w:r>
    </w:p>
    <w:p>
      <w:pPr>
        <w:jc w:val="start"/>
        <w:bidi/>
      </w:pPr>
      <w:r>
        <w:rPr>
          <w:sz w:val="24"/>
          <w:szCs w:val="24"/>
          <w:b w:val="1"/>
          <w:bCs w:val="1"/>
          <w:rtl/>
        </w:rPr>
        <w:t xml:space="preserve">
الإصابة في تمييز الصحابة،(دار الكتب العلمية - بيروت،1995،ط 1،ج 4،ص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2026-07-26T17:19:58+03:00</dcterms:created>
  <dcterms:modified xsi:type="dcterms:W3CDTF">2026-07-26T17:19:58+03:00</dcterms:modified>
</cp:coreProperties>
</file>

<file path=docProps/custom.xml><?xml version="1.0" encoding="utf-8"?>
<Properties xmlns="http://schemas.openxmlformats.org/officeDocument/2006/custom-properties" xmlns:vt="http://schemas.openxmlformats.org/officeDocument/2006/docPropsVTypes"/>
</file>