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عمرو
</w:t>
      </w:r>
    </w:p>
    <w:p>
      <w:pPr>
        <w:jc w:val="start"/>
        <w:bidi/>
      </w:pPr>
      <w:r>
        <w:rPr>
          <w:rFonts w:ascii="arial" w:hAnsi="arial" w:eastAsia="arial" w:cs="arial"/>
          <w:sz w:val="28"/>
          <w:szCs w:val="28"/>
          <w:b w:val="1"/>
          <w:bCs w:val="1"/>
          <w:rtl/>
        </w:rPr>
        <w:t xml:space="preserve">قيس بن عمرو
</w:t>
      </w:r>
    </w:p>
    <w:p>
      <w:pPr/>
      <w:r>
        <w:rPr/>
        <w:t xml:space="preserve">قيس بن عمرو بن زيد بن عوف بن مبذول بن مازن الأنصاري المازني.</w:t>
      </w:r>
    </w:p>
    <w:p/>
    <w:p>
      <w:pPr/>
      <w:r>
        <w:rPr/>
        <w:t xml:space="preserve">وذكر الطبراني أنه من هوازن، حالف الأنصار. وذكره سيف في الفتوح أنه شهد اليرموك مع خالد بن الوليد، وأنه أمره على الكراديس. وقد تقدم مرارا أنهم كانوا لا يؤمرون إلا الصحابة، ثم ظهر لي أنه قيس من أبي صعصعة الماضي، وعمرو اسم أبي صعصعة.</w:t>
      </w:r>
    </w:p>
    <w:p>
      <w:pPr>
        <w:jc w:val="start"/>
        <w:bidi/>
      </w:pPr>
      <w:r>
        <w:rPr>
          <w:sz w:val="24"/>
          <w:szCs w:val="24"/>
          <w:b w:val="1"/>
          <w:bCs w:val="1"/>
          <w:rtl/>
        </w:rPr>
        <w:t xml:space="preserve">
الإصابة في تمييز الصحابة،(دار الكتب العلمية - بيروت،1995،ط 1،ج 5،ص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2026-07-27T11:30:13+03:00</dcterms:created>
  <dcterms:modified xsi:type="dcterms:W3CDTF">2026-07-27T11:30:13+03:00</dcterms:modified>
</cp:coreProperties>
</file>

<file path=docProps/custom.xml><?xml version="1.0" encoding="utf-8"?>
<Properties xmlns="http://schemas.openxmlformats.org/officeDocument/2006/custom-properties" xmlns:vt="http://schemas.openxmlformats.org/officeDocument/2006/docPropsVTypes"/>
</file>