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قدامة
</w:t>
      </w:r>
    </w:p>
    <w:p>
      <w:pPr/>
      <w:r>
        <w:rPr/>
        <w:t xml:space="preserve">قدامة غير منسوب.</w:t>
      </w:r>
    </w:p>
    <w:p/>
    <w:p>
      <w:pPr/>
      <w:r>
        <w:rPr/>
        <w:t xml:space="preserve">ذكره ابن شاهين، واستدركه أبو موسى فوهم، فإنه قدامة بن عبد الله العامري وقد أخرج البغوي، وابن مندة، الحديث الذي ذكره ابن شاهين هنا في ترجمة قدامة بن عبد الله.</w:t>
      </w:r>
    </w:p>
    <w:p/>
    <w:p>
      <w:pPr/>
      <w:r>
        <w:rPr/>
        <w:t xml:space="preserve">وقد تقدم في القسم الأول.</w:t>
      </w:r>
    </w:p>
    <w:p/>
    <w:p>
      <w:pPr/>
      <w:r>
        <w:rPr/>
        <w:t xml:space="preserve">القاف بعدها الراء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2026-07-27T10:49:42+03:00</dcterms:created>
  <dcterms:modified xsi:type="dcterms:W3CDTF">2026-07-27T10:49:42+03:00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