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
</w:t>
      </w:r>
    </w:p>
    <w:p>
      <w:pPr/>
      <w:r>
        <w:rPr/>
        <w:t xml:space="preserve">محمد بن سليمان بن رفاعة بن خليفة بن أبي كعب.</w:t>
      </w:r>
    </w:p>
    <w:p/>
    <w:p>
      <w:pPr/>
      <w:r>
        <w:rPr/>
        <w:t xml:space="preserve">قال ابن القداح: شهد أحدا، وحضر فتح العراق، وقتل يوم صفين. ذكره ابن شاهين عن ابن أبي داود، عن ابن القداح.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2026-07-27T10:55:05+03:00</dcterms:created>
  <dcterms:modified xsi:type="dcterms:W3CDTF">2026-07-27T10:55:05+03:00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